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5A96" w14:textId="77777777" w:rsidR="00C94D7E" w:rsidRDefault="00C94D7E" w:rsidP="00C94D7E">
      <w:pPr>
        <w:rPr>
          <w:rStyle w:val="IntenseEmphasis"/>
          <w:i w:val="0"/>
          <w:iCs w:val="0"/>
          <w:color w:val="auto"/>
        </w:rPr>
      </w:pPr>
    </w:p>
    <w:p w14:paraId="6BAD208E" w14:textId="77777777" w:rsidR="005334D9" w:rsidRDefault="005334D9" w:rsidP="00C94D7E">
      <w:pPr>
        <w:rPr>
          <w:rStyle w:val="IntenseEmphasis"/>
          <w:i w:val="0"/>
          <w:iCs w:val="0"/>
          <w:color w:val="auto"/>
        </w:rPr>
      </w:pPr>
    </w:p>
    <w:p w14:paraId="6BC6CF49" w14:textId="77777777" w:rsidR="005334D9" w:rsidRDefault="005334D9" w:rsidP="00C94D7E">
      <w:pPr>
        <w:rPr>
          <w:rStyle w:val="IntenseEmphasis"/>
          <w:i w:val="0"/>
          <w:iCs w:val="0"/>
          <w:color w:val="auto"/>
        </w:rPr>
      </w:pPr>
    </w:p>
    <w:p w14:paraId="450B0C58" w14:textId="77777777" w:rsidR="005334D9" w:rsidRDefault="005334D9" w:rsidP="00C94D7E">
      <w:pPr>
        <w:rPr>
          <w:rStyle w:val="IntenseEmphasis"/>
          <w:i w:val="0"/>
          <w:iCs w:val="0"/>
          <w:color w:val="auto"/>
        </w:rPr>
      </w:pPr>
    </w:p>
    <w:p w14:paraId="53E56A4D" w14:textId="77777777" w:rsidR="005334D9" w:rsidRDefault="005334D9" w:rsidP="00C94D7E">
      <w:pPr>
        <w:rPr>
          <w:rStyle w:val="IntenseEmphasis"/>
          <w:i w:val="0"/>
          <w:iCs w:val="0"/>
          <w:color w:val="auto"/>
        </w:rPr>
      </w:pPr>
    </w:p>
    <w:p w14:paraId="232C001D" w14:textId="77777777" w:rsidR="005334D9" w:rsidRDefault="005334D9" w:rsidP="00C94D7E">
      <w:pPr>
        <w:rPr>
          <w:rStyle w:val="IntenseEmphasis"/>
          <w:i w:val="0"/>
          <w:iCs w:val="0"/>
          <w:color w:val="auto"/>
        </w:rPr>
      </w:pPr>
    </w:p>
    <w:p w14:paraId="6A0D20D7" w14:textId="77777777" w:rsidR="007562B2" w:rsidRDefault="0033665B" w:rsidP="001A7F4D">
      <w:pPr>
        <w:jc w:val="center"/>
        <w:rPr>
          <w:rStyle w:val="IntenseEmphasis"/>
          <w:i w:val="0"/>
          <w:iCs w:val="0"/>
          <w:color w:val="auto"/>
        </w:rPr>
      </w:pPr>
      <w:r>
        <w:rPr>
          <w:noProof/>
          <w:lang w:val="en-US"/>
        </w:rPr>
        <w:drawing>
          <wp:inline distT="0" distB="0" distL="0" distR="0" wp14:anchorId="5859CE48" wp14:editId="084B7355">
            <wp:extent cx="3677782" cy="11192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APC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77782" cy="1119224"/>
                    </a:xfrm>
                    <a:prstGeom prst="rect">
                      <a:avLst/>
                    </a:prstGeom>
                  </pic:spPr>
                </pic:pic>
              </a:graphicData>
            </a:graphic>
          </wp:inline>
        </w:drawing>
      </w:r>
    </w:p>
    <w:p w14:paraId="14B1BCD0" w14:textId="77777777" w:rsidR="007562B2" w:rsidRDefault="007562B2">
      <w:pPr>
        <w:spacing w:after="160" w:line="259" w:lineRule="auto"/>
        <w:rPr>
          <w:rStyle w:val="IntenseEmphasis"/>
          <w:i w:val="0"/>
          <w:iCs w:val="0"/>
          <w:color w:val="auto"/>
        </w:rPr>
      </w:pPr>
    </w:p>
    <w:p w14:paraId="01A52FD6" w14:textId="77777777" w:rsidR="005334D9" w:rsidRDefault="005334D9">
      <w:pPr>
        <w:spacing w:after="160" w:line="259" w:lineRule="auto"/>
        <w:rPr>
          <w:rStyle w:val="IntenseEmphasis"/>
          <w:i w:val="0"/>
          <w:iCs w:val="0"/>
          <w:color w:val="auto"/>
        </w:rPr>
      </w:pPr>
    </w:p>
    <w:p w14:paraId="3928E807" w14:textId="77777777" w:rsidR="005334D9" w:rsidRDefault="005334D9">
      <w:pPr>
        <w:spacing w:after="160" w:line="259" w:lineRule="auto"/>
        <w:rPr>
          <w:rStyle w:val="IntenseEmphasis"/>
          <w:i w:val="0"/>
          <w:iCs w:val="0"/>
          <w:color w:val="auto"/>
        </w:rPr>
      </w:pPr>
    </w:p>
    <w:p w14:paraId="715A32BA" w14:textId="77777777" w:rsidR="005334D9" w:rsidRDefault="005334D9">
      <w:pPr>
        <w:spacing w:after="160" w:line="259" w:lineRule="auto"/>
        <w:rPr>
          <w:rStyle w:val="IntenseEmphasis"/>
          <w:i w:val="0"/>
          <w:iCs w:val="0"/>
          <w:color w:val="auto"/>
        </w:rPr>
      </w:pPr>
    </w:p>
    <w:p w14:paraId="2C58FB3D" w14:textId="77777777" w:rsidR="00C94D7E" w:rsidRDefault="00C94D7E">
      <w:pPr>
        <w:spacing w:after="160" w:line="259" w:lineRule="auto"/>
        <w:rPr>
          <w:rStyle w:val="IntenseEmphasis"/>
          <w:i w:val="0"/>
          <w:iCs w:val="0"/>
          <w:color w:val="auto"/>
        </w:rPr>
      </w:pPr>
    </w:p>
    <w:p w14:paraId="6CAB1BC3" w14:textId="77777777" w:rsidR="00C94D7E" w:rsidRDefault="00C94D7E">
      <w:pPr>
        <w:spacing w:after="160" w:line="259" w:lineRule="auto"/>
        <w:rPr>
          <w:rStyle w:val="IntenseEmphasis"/>
          <w:i w:val="0"/>
          <w:iCs w:val="0"/>
          <w:color w:val="auto"/>
        </w:rPr>
      </w:pPr>
    </w:p>
    <w:tbl>
      <w:tblPr>
        <w:tblStyle w:val="TableGrid"/>
        <w:tblpPr w:leftFromText="180" w:rightFromText="180" w:vertAnchor="text" w:horzAnchor="page" w:tblpX="1" w:tblpY="733"/>
        <w:tblW w:w="12900"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4926"/>
      </w:tblGrid>
      <w:tr w:rsidR="004B46C5" w:rsidRPr="0018451A" w14:paraId="2546EB6A" w14:textId="77777777" w:rsidTr="004B46C5">
        <w:tc>
          <w:tcPr>
            <w:tcW w:w="3402" w:type="dxa"/>
            <w:shd w:val="clear" w:color="auto" w:fill="2ECC8F"/>
          </w:tcPr>
          <w:p w14:paraId="7B55086A" w14:textId="77777777" w:rsidR="004B46C5" w:rsidRDefault="004B46C5" w:rsidP="004B46C5">
            <w:pPr>
              <w:pStyle w:val="Footer"/>
              <w:rPr>
                <w:szCs w:val="20"/>
              </w:rPr>
            </w:pPr>
          </w:p>
        </w:tc>
        <w:tc>
          <w:tcPr>
            <w:tcW w:w="2977" w:type="dxa"/>
            <w:tcBorders>
              <w:top w:val="nil"/>
            </w:tcBorders>
            <w:shd w:val="clear" w:color="auto" w:fill="2DCC71"/>
          </w:tcPr>
          <w:p w14:paraId="0830BF06" w14:textId="77777777" w:rsidR="004B46C5" w:rsidRDefault="004B46C5" w:rsidP="004B46C5">
            <w:pPr>
              <w:pStyle w:val="Footer"/>
              <w:rPr>
                <w:szCs w:val="20"/>
              </w:rPr>
            </w:pPr>
          </w:p>
        </w:tc>
        <w:tc>
          <w:tcPr>
            <w:tcW w:w="1595" w:type="dxa"/>
            <w:shd w:val="clear" w:color="auto" w:fill="26C282"/>
          </w:tcPr>
          <w:p w14:paraId="511D0E0A" w14:textId="77777777" w:rsidR="004B46C5" w:rsidRDefault="004B46C5" w:rsidP="004B46C5">
            <w:pPr>
              <w:pStyle w:val="Footer"/>
              <w:rPr>
                <w:szCs w:val="20"/>
              </w:rPr>
            </w:pPr>
          </w:p>
        </w:tc>
        <w:tc>
          <w:tcPr>
            <w:tcW w:w="4926" w:type="dxa"/>
            <w:shd w:val="clear" w:color="auto" w:fill="00B69C"/>
          </w:tcPr>
          <w:p w14:paraId="62B06CB3" w14:textId="77777777" w:rsidR="004B46C5" w:rsidRDefault="004B46C5" w:rsidP="004B46C5">
            <w:pPr>
              <w:pStyle w:val="Footer"/>
              <w:rPr>
                <w:szCs w:val="20"/>
              </w:rPr>
            </w:pPr>
          </w:p>
        </w:tc>
      </w:tr>
    </w:tbl>
    <w:tbl>
      <w:tblPr>
        <w:tblStyle w:val="TableGrid"/>
        <w:tblpPr w:leftFromText="180" w:rightFromText="180" w:vertAnchor="text" w:horzAnchor="margin" w:tblpXSpec="center" w:tblpY="2311"/>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93948A" w:themeColor="text2"/>
        </w:tblBorders>
        <w:tblLook w:val="04A0" w:firstRow="1" w:lastRow="0" w:firstColumn="1" w:lastColumn="0" w:noHBand="0" w:noVBand="1"/>
      </w:tblPr>
      <w:tblGrid>
        <w:gridCol w:w="6521"/>
      </w:tblGrid>
      <w:tr w:rsidR="004B46C5" w:rsidRPr="00C94D7E" w14:paraId="2D695976" w14:textId="77777777" w:rsidTr="003A7E3B">
        <w:tc>
          <w:tcPr>
            <w:tcW w:w="6521" w:type="dxa"/>
          </w:tcPr>
          <w:p w14:paraId="2CC219ED" w14:textId="32D3A0CC" w:rsidR="004B46C5" w:rsidRPr="001D6D93" w:rsidRDefault="00EB1B21" w:rsidP="00092E99">
            <w:pPr>
              <w:pStyle w:val="Title-ColouredBackground"/>
              <w:jc w:val="center"/>
              <w:rPr>
                <w:rStyle w:val="IntenseEmphasis"/>
                <w:rFonts w:ascii="Gotham Rounded Book" w:hAnsi="Gotham Rounded Book"/>
                <w:i w:val="0"/>
                <w:iCs w:val="0"/>
                <w:color w:val="FFFFFF"/>
                <w:sz w:val="36"/>
              </w:rPr>
            </w:pPr>
            <w:r>
              <w:rPr>
                <w:rStyle w:val="IntenseEmphasis"/>
                <w:rFonts w:ascii="Gotham Rounded Book" w:hAnsi="Gotham Rounded Book"/>
                <w:i w:val="0"/>
                <w:iCs w:val="0"/>
                <w:color w:val="FFFFFF"/>
                <w:sz w:val="36"/>
              </w:rPr>
              <w:t>Intern and Preceptor Guide to Entrustable Professional Activities (EPAs)</w:t>
            </w:r>
          </w:p>
        </w:tc>
      </w:tr>
      <w:tr w:rsidR="004B46C5" w:rsidRPr="00C94D7E" w14:paraId="5306587C" w14:textId="77777777" w:rsidTr="003A7E3B">
        <w:tc>
          <w:tcPr>
            <w:tcW w:w="6521" w:type="dxa"/>
          </w:tcPr>
          <w:p w14:paraId="3D99DED5" w14:textId="21B1D131" w:rsidR="004B46C5" w:rsidRPr="001D6D93" w:rsidRDefault="00B47BDF" w:rsidP="009059FC">
            <w:pPr>
              <w:pStyle w:val="Subtitle-ColouredBackground"/>
              <w:jc w:val="center"/>
              <w:rPr>
                <w:rStyle w:val="IntenseEmphasis"/>
                <w:rFonts w:ascii="Gotham Rounded Book" w:hAnsi="Gotham Rounded Book"/>
                <w:i w:val="0"/>
                <w:iCs w:val="0"/>
                <w:color w:val="FFFFFF"/>
                <w:sz w:val="24"/>
              </w:rPr>
            </w:pPr>
            <w:r>
              <w:rPr>
                <w:rStyle w:val="IntenseEmphasis"/>
                <w:rFonts w:ascii="Gotham Rounded Book" w:hAnsi="Gotham Rounded Book"/>
                <w:i w:val="0"/>
                <w:iCs w:val="0"/>
                <w:color w:val="FFFFFF"/>
                <w:sz w:val="24"/>
              </w:rPr>
              <w:t xml:space="preserve">April </w:t>
            </w:r>
            <w:r w:rsidR="003A7E3B">
              <w:rPr>
                <w:rStyle w:val="IntenseEmphasis"/>
                <w:rFonts w:ascii="Gotham Rounded Book" w:hAnsi="Gotham Rounded Book"/>
                <w:i w:val="0"/>
                <w:iCs w:val="0"/>
                <w:color w:val="FFFFFF"/>
                <w:sz w:val="24"/>
              </w:rPr>
              <w:t>2021</w:t>
            </w:r>
            <w:r w:rsidR="007A7402">
              <w:rPr>
                <w:rStyle w:val="IntenseEmphasis"/>
                <w:rFonts w:ascii="Gotham Rounded Book" w:hAnsi="Gotham Rounded Book"/>
                <w:i w:val="0"/>
                <w:iCs w:val="0"/>
                <w:color w:val="FFFFFF"/>
                <w:sz w:val="24"/>
              </w:rPr>
              <w:t xml:space="preserve"> | Version </w:t>
            </w:r>
            <w:r w:rsidR="00092E99">
              <w:rPr>
                <w:rStyle w:val="IntenseEmphasis"/>
                <w:rFonts w:ascii="Gotham Rounded Book" w:hAnsi="Gotham Rounded Book"/>
                <w:i w:val="0"/>
                <w:iCs w:val="0"/>
                <w:color w:val="FFFFFF"/>
                <w:sz w:val="24"/>
              </w:rPr>
              <w:t>0.3</w:t>
            </w:r>
          </w:p>
        </w:tc>
      </w:tr>
    </w:tbl>
    <w:p w14:paraId="357D7559" w14:textId="77777777" w:rsidR="007562B2" w:rsidRDefault="004B46C5">
      <w:pPr>
        <w:spacing w:after="160" w:line="259" w:lineRule="auto"/>
        <w:rPr>
          <w:rStyle w:val="IntenseEmphasis"/>
          <w:i w:val="0"/>
          <w:iCs w:val="0"/>
          <w:color w:val="auto"/>
        </w:rPr>
      </w:pPr>
      <w:r>
        <w:rPr>
          <w:noProof/>
          <w:lang w:val="en-US"/>
        </w:rPr>
        <mc:AlternateContent>
          <mc:Choice Requires="wps">
            <w:drawing>
              <wp:anchor distT="0" distB="0" distL="114300" distR="114300" simplePos="0" relativeHeight="251658240" behindDoc="1" locked="0" layoutInCell="1" allowOverlap="1" wp14:anchorId="519428D1" wp14:editId="3BEEC8D2">
                <wp:simplePos x="0" y="0"/>
                <wp:positionH relativeFrom="column">
                  <wp:posOffset>-996315</wp:posOffset>
                </wp:positionH>
                <wp:positionV relativeFrom="paragraph">
                  <wp:posOffset>527685</wp:posOffset>
                </wp:positionV>
                <wp:extent cx="8362950" cy="4953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8362950" cy="4953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31CF5C" id="Rectangle 6" o:spid="_x0000_s1026" style="position:absolute;margin-left:-78.45pt;margin-top:41.55pt;width:658.5pt;height:3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" fillcolor="#67c971 [3204]" strokecolor="#276f2f [1604]" strokeweight="1pt"/>
            </w:pict>
          </mc:Fallback>
        </mc:AlternateContent>
      </w:r>
    </w:p>
    <w:p w14:paraId="290BAB2E" w14:textId="77777777" w:rsidR="007562B2" w:rsidRDefault="007562B2">
      <w:pPr>
        <w:spacing w:after="160" w:line="259" w:lineRule="auto"/>
        <w:rPr>
          <w:rStyle w:val="IntenseEmphasis"/>
          <w:i w:val="0"/>
          <w:iCs w:val="0"/>
          <w:color w:val="auto"/>
        </w:rPr>
        <w:sectPr w:rsidR="007562B2" w:rsidSect="004740F7">
          <w:headerReference w:type="default" r:id="rId12"/>
          <w:footerReference w:type="default" r:id="rId13"/>
          <w:type w:val="continuous"/>
          <w:pgSz w:w="11906" w:h="16838" w:code="9"/>
          <w:pgMar w:top="1985" w:right="1134" w:bottom="1588" w:left="1134" w:header="709" w:footer="284" w:gutter="0"/>
          <w:cols w:space="708"/>
          <w:titlePg/>
          <w:docGrid w:linePitch="360"/>
        </w:sectPr>
      </w:pPr>
    </w:p>
    <w:sdt>
      <w:sdtPr>
        <w:rPr>
          <w:rFonts w:ascii="Arial" w:eastAsiaTheme="minorHAnsi" w:hAnsi="Arial" w:cstheme="minorBidi"/>
          <w:i/>
          <w:iCs/>
          <w:color w:val="00B69C"/>
          <w:sz w:val="20"/>
          <w:szCs w:val="22"/>
          <w:lang w:val="en-AU"/>
        </w:rPr>
        <w:id w:val="758247580"/>
        <w:docPartObj>
          <w:docPartGallery w:val="Table of Contents"/>
          <w:docPartUnique/>
        </w:docPartObj>
      </w:sdtPr>
      <w:sdtEndPr>
        <w:rPr>
          <w:b/>
          <w:bCs/>
          <w:i w:val="0"/>
          <w:iCs w:val="0"/>
          <w:noProof/>
          <w:color w:val="auto"/>
        </w:rPr>
      </w:sdtEndPr>
      <w:sdtContent>
        <w:p w14:paraId="3FB2C101" w14:textId="77777777" w:rsidR="00D935EB" w:rsidRDefault="00D935EB">
          <w:pPr>
            <w:pStyle w:val="TOCHeading"/>
          </w:pPr>
          <w:r>
            <w:t>Table of Contents</w:t>
          </w:r>
        </w:p>
        <w:p w14:paraId="218C0B1C" w14:textId="23949449" w:rsidR="006D7677" w:rsidRDefault="00D935EB">
          <w:pPr>
            <w:pStyle w:val="TOC1"/>
            <w:tabs>
              <w:tab w:val="right" w:leader="dot" w:pos="9628"/>
            </w:tabs>
            <w:rPr>
              <w:rFonts w:asciiTheme="minorHAnsi" w:eastAsiaTheme="minorEastAsia" w:hAnsiTheme="minorHAnsi"/>
              <w:noProof/>
              <w:sz w:val="22"/>
              <w:lang w:eastAsia="en-AU"/>
            </w:rPr>
          </w:pPr>
          <w:r>
            <w:fldChar w:fldCharType="begin"/>
          </w:r>
          <w:r>
            <w:instrText xml:space="preserve"> TOC \o "1-3" \h \z \u </w:instrText>
          </w:r>
          <w:r>
            <w:fldChar w:fldCharType="separate"/>
          </w:r>
          <w:hyperlink w:anchor="_Toc70607180" w:history="1">
            <w:r w:rsidR="006D7677" w:rsidRPr="005E73AC">
              <w:rPr>
                <w:rStyle w:val="Hyperlink"/>
                <w:noProof/>
              </w:rPr>
              <w:t>List of Tables</w:t>
            </w:r>
            <w:r w:rsidR="006D7677">
              <w:rPr>
                <w:noProof/>
                <w:webHidden/>
              </w:rPr>
              <w:tab/>
            </w:r>
            <w:r w:rsidR="006D7677">
              <w:rPr>
                <w:noProof/>
                <w:webHidden/>
              </w:rPr>
              <w:fldChar w:fldCharType="begin"/>
            </w:r>
            <w:r w:rsidR="006D7677">
              <w:rPr>
                <w:noProof/>
                <w:webHidden/>
              </w:rPr>
              <w:instrText xml:space="preserve"> PAGEREF _Toc70607180 \h </w:instrText>
            </w:r>
            <w:r w:rsidR="006D7677">
              <w:rPr>
                <w:noProof/>
                <w:webHidden/>
              </w:rPr>
            </w:r>
            <w:r w:rsidR="006D7677">
              <w:rPr>
                <w:noProof/>
                <w:webHidden/>
              </w:rPr>
              <w:fldChar w:fldCharType="separate"/>
            </w:r>
            <w:r w:rsidR="00123C50">
              <w:rPr>
                <w:noProof/>
                <w:webHidden/>
              </w:rPr>
              <w:t>3</w:t>
            </w:r>
            <w:r w:rsidR="006D7677">
              <w:rPr>
                <w:noProof/>
                <w:webHidden/>
              </w:rPr>
              <w:fldChar w:fldCharType="end"/>
            </w:r>
          </w:hyperlink>
        </w:p>
        <w:p w14:paraId="1492FE6D" w14:textId="37C5B264" w:rsidR="006D7677" w:rsidRDefault="00123C50">
          <w:pPr>
            <w:pStyle w:val="TOC1"/>
            <w:tabs>
              <w:tab w:val="right" w:leader="dot" w:pos="9628"/>
            </w:tabs>
            <w:rPr>
              <w:rFonts w:asciiTheme="minorHAnsi" w:eastAsiaTheme="minorEastAsia" w:hAnsiTheme="minorHAnsi"/>
              <w:noProof/>
              <w:sz w:val="22"/>
              <w:lang w:eastAsia="en-AU"/>
            </w:rPr>
          </w:pPr>
          <w:hyperlink w:anchor="_Toc70607181" w:history="1">
            <w:r w:rsidR="006D7677" w:rsidRPr="005E73AC">
              <w:rPr>
                <w:rStyle w:val="Hyperlink"/>
                <w:noProof/>
              </w:rPr>
              <w:t>List of Abbreviations</w:t>
            </w:r>
            <w:r w:rsidR="006D7677">
              <w:rPr>
                <w:noProof/>
                <w:webHidden/>
              </w:rPr>
              <w:tab/>
            </w:r>
            <w:r w:rsidR="006D7677">
              <w:rPr>
                <w:noProof/>
                <w:webHidden/>
              </w:rPr>
              <w:fldChar w:fldCharType="begin"/>
            </w:r>
            <w:r w:rsidR="006D7677">
              <w:rPr>
                <w:noProof/>
                <w:webHidden/>
              </w:rPr>
              <w:instrText xml:space="preserve"> PAGEREF _Toc70607181 \h </w:instrText>
            </w:r>
            <w:r w:rsidR="006D7677">
              <w:rPr>
                <w:noProof/>
                <w:webHidden/>
              </w:rPr>
            </w:r>
            <w:r w:rsidR="006D7677">
              <w:rPr>
                <w:noProof/>
                <w:webHidden/>
              </w:rPr>
              <w:fldChar w:fldCharType="separate"/>
            </w:r>
            <w:r>
              <w:rPr>
                <w:noProof/>
                <w:webHidden/>
              </w:rPr>
              <w:t>3</w:t>
            </w:r>
            <w:r w:rsidR="006D7677">
              <w:rPr>
                <w:noProof/>
                <w:webHidden/>
              </w:rPr>
              <w:fldChar w:fldCharType="end"/>
            </w:r>
          </w:hyperlink>
        </w:p>
        <w:p w14:paraId="6637597D" w14:textId="1EBFAF86" w:rsidR="006D7677" w:rsidRDefault="00123C50">
          <w:pPr>
            <w:pStyle w:val="TOC1"/>
            <w:tabs>
              <w:tab w:val="right" w:leader="dot" w:pos="9628"/>
            </w:tabs>
            <w:rPr>
              <w:rFonts w:asciiTheme="minorHAnsi" w:eastAsiaTheme="minorEastAsia" w:hAnsiTheme="minorHAnsi"/>
              <w:noProof/>
              <w:sz w:val="22"/>
              <w:lang w:eastAsia="en-AU"/>
            </w:rPr>
          </w:pPr>
          <w:hyperlink w:anchor="_Toc70607182" w:history="1">
            <w:r w:rsidR="006D7677" w:rsidRPr="005E73AC">
              <w:rPr>
                <w:rStyle w:val="Hyperlink"/>
                <w:noProof/>
                <w:lang w:val="en-US"/>
              </w:rPr>
              <w:t>Definition and description</w:t>
            </w:r>
            <w:r w:rsidR="006D7677">
              <w:rPr>
                <w:noProof/>
                <w:webHidden/>
              </w:rPr>
              <w:tab/>
            </w:r>
            <w:r w:rsidR="006D7677">
              <w:rPr>
                <w:noProof/>
                <w:webHidden/>
              </w:rPr>
              <w:fldChar w:fldCharType="begin"/>
            </w:r>
            <w:r w:rsidR="006D7677">
              <w:rPr>
                <w:noProof/>
                <w:webHidden/>
              </w:rPr>
              <w:instrText xml:space="preserve"> PAGEREF _Toc70607182 \h </w:instrText>
            </w:r>
            <w:r w:rsidR="006D7677">
              <w:rPr>
                <w:noProof/>
                <w:webHidden/>
              </w:rPr>
            </w:r>
            <w:r w:rsidR="006D7677">
              <w:rPr>
                <w:noProof/>
                <w:webHidden/>
              </w:rPr>
              <w:fldChar w:fldCharType="separate"/>
            </w:r>
            <w:r>
              <w:rPr>
                <w:noProof/>
                <w:webHidden/>
              </w:rPr>
              <w:t>4</w:t>
            </w:r>
            <w:r w:rsidR="006D7677">
              <w:rPr>
                <w:noProof/>
                <w:webHidden/>
              </w:rPr>
              <w:fldChar w:fldCharType="end"/>
            </w:r>
          </w:hyperlink>
        </w:p>
        <w:p w14:paraId="7470EB98" w14:textId="118C2F19" w:rsidR="006D7677" w:rsidRDefault="00123C50">
          <w:pPr>
            <w:pStyle w:val="TOC1"/>
            <w:tabs>
              <w:tab w:val="right" w:leader="dot" w:pos="9628"/>
            </w:tabs>
            <w:rPr>
              <w:rFonts w:asciiTheme="minorHAnsi" w:eastAsiaTheme="minorEastAsia" w:hAnsiTheme="minorHAnsi"/>
              <w:noProof/>
              <w:sz w:val="22"/>
              <w:lang w:eastAsia="en-AU"/>
            </w:rPr>
          </w:pPr>
          <w:hyperlink w:anchor="_Toc70607183" w:history="1">
            <w:r w:rsidR="006D7677" w:rsidRPr="005E73AC">
              <w:rPr>
                <w:rStyle w:val="Hyperlink"/>
                <w:rFonts w:eastAsia="Times New Roman"/>
                <w:noProof/>
                <w:lang w:eastAsia="en-AU"/>
              </w:rPr>
              <w:t>Entrustment as prospective assessment</w:t>
            </w:r>
            <w:r w:rsidR="006D7677">
              <w:rPr>
                <w:noProof/>
                <w:webHidden/>
              </w:rPr>
              <w:tab/>
            </w:r>
            <w:r w:rsidR="006D7677">
              <w:rPr>
                <w:noProof/>
                <w:webHidden/>
              </w:rPr>
              <w:fldChar w:fldCharType="begin"/>
            </w:r>
            <w:r w:rsidR="006D7677">
              <w:rPr>
                <w:noProof/>
                <w:webHidden/>
              </w:rPr>
              <w:instrText xml:space="preserve"> PAGEREF _Toc70607183 \h </w:instrText>
            </w:r>
            <w:r w:rsidR="006D7677">
              <w:rPr>
                <w:noProof/>
                <w:webHidden/>
              </w:rPr>
            </w:r>
            <w:r w:rsidR="006D7677">
              <w:rPr>
                <w:noProof/>
                <w:webHidden/>
              </w:rPr>
              <w:fldChar w:fldCharType="separate"/>
            </w:r>
            <w:r>
              <w:rPr>
                <w:noProof/>
                <w:webHidden/>
              </w:rPr>
              <w:t>5</w:t>
            </w:r>
            <w:r w:rsidR="006D7677">
              <w:rPr>
                <w:noProof/>
                <w:webHidden/>
              </w:rPr>
              <w:fldChar w:fldCharType="end"/>
            </w:r>
          </w:hyperlink>
        </w:p>
        <w:p w14:paraId="2B0B2898" w14:textId="37F3CED0" w:rsidR="006D7677" w:rsidRDefault="00123C50">
          <w:pPr>
            <w:pStyle w:val="TOC1"/>
            <w:tabs>
              <w:tab w:val="right" w:leader="dot" w:pos="9628"/>
            </w:tabs>
            <w:rPr>
              <w:rFonts w:asciiTheme="minorHAnsi" w:eastAsiaTheme="minorEastAsia" w:hAnsiTheme="minorHAnsi"/>
              <w:noProof/>
              <w:sz w:val="22"/>
              <w:lang w:eastAsia="en-AU"/>
            </w:rPr>
          </w:pPr>
          <w:hyperlink w:anchor="_Toc70607184" w:history="1">
            <w:r w:rsidR="006D7677" w:rsidRPr="005E73AC">
              <w:rPr>
                <w:rStyle w:val="Hyperlink"/>
                <w:rFonts w:eastAsia="Times New Roman"/>
                <w:noProof/>
                <w:lang w:eastAsia="en-AU"/>
              </w:rPr>
              <w:t>Evidence for summative entrustment decisions</w:t>
            </w:r>
            <w:r w:rsidR="006D7677">
              <w:rPr>
                <w:noProof/>
                <w:webHidden/>
              </w:rPr>
              <w:tab/>
            </w:r>
            <w:r w:rsidR="006D7677">
              <w:rPr>
                <w:noProof/>
                <w:webHidden/>
              </w:rPr>
              <w:fldChar w:fldCharType="begin"/>
            </w:r>
            <w:r w:rsidR="006D7677">
              <w:rPr>
                <w:noProof/>
                <w:webHidden/>
              </w:rPr>
              <w:instrText xml:space="preserve"> PAGEREF _Toc70607184 \h </w:instrText>
            </w:r>
            <w:r w:rsidR="006D7677">
              <w:rPr>
                <w:noProof/>
                <w:webHidden/>
              </w:rPr>
            </w:r>
            <w:r w:rsidR="006D7677">
              <w:rPr>
                <w:noProof/>
                <w:webHidden/>
              </w:rPr>
              <w:fldChar w:fldCharType="separate"/>
            </w:r>
            <w:r>
              <w:rPr>
                <w:noProof/>
                <w:webHidden/>
              </w:rPr>
              <w:t>5</w:t>
            </w:r>
            <w:r w:rsidR="006D7677">
              <w:rPr>
                <w:noProof/>
                <w:webHidden/>
              </w:rPr>
              <w:fldChar w:fldCharType="end"/>
            </w:r>
          </w:hyperlink>
        </w:p>
        <w:p w14:paraId="66212B27" w14:textId="1F63F23C" w:rsidR="006D7677" w:rsidRDefault="00123C50">
          <w:pPr>
            <w:pStyle w:val="TOC1"/>
            <w:tabs>
              <w:tab w:val="right" w:leader="dot" w:pos="9628"/>
            </w:tabs>
            <w:rPr>
              <w:rFonts w:asciiTheme="minorHAnsi" w:eastAsiaTheme="minorEastAsia" w:hAnsiTheme="minorHAnsi"/>
              <w:noProof/>
              <w:sz w:val="22"/>
              <w:lang w:eastAsia="en-AU"/>
            </w:rPr>
          </w:pPr>
          <w:hyperlink w:anchor="_Toc70607185" w:history="1">
            <w:r w:rsidR="006D7677" w:rsidRPr="005E73AC">
              <w:rPr>
                <w:rStyle w:val="Hyperlink"/>
                <w:rFonts w:eastAsia="Times New Roman"/>
                <w:noProof/>
                <w:lang w:eastAsia="en-AU"/>
              </w:rPr>
              <w:t>Reflection</w:t>
            </w:r>
            <w:r w:rsidR="006D7677">
              <w:rPr>
                <w:noProof/>
                <w:webHidden/>
              </w:rPr>
              <w:tab/>
            </w:r>
            <w:r w:rsidR="006D7677">
              <w:rPr>
                <w:noProof/>
                <w:webHidden/>
              </w:rPr>
              <w:fldChar w:fldCharType="begin"/>
            </w:r>
            <w:r w:rsidR="006D7677">
              <w:rPr>
                <w:noProof/>
                <w:webHidden/>
              </w:rPr>
              <w:instrText xml:space="preserve"> PAGEREF _Toc70607185 \h </w:instrText>
            </w:r>
            <w:r w:rsidR="006D7677">
              <w:rPr>
                <w:noProof/>
                <w:webHidden/>
              </w:rPr>
            </w:r>
            <w:r w:rsidR="006D7677">
              <w:rPr>
                <w:noProof/>
                <w:webHidden/>
              </w:rPr>
              <w:fldChar w:fldCharType="separate"/>
            </w:r>
            <w:r>
              <w:rPr>
                <w:noProof/>
                <w:webHidden/>
              </w:rPr>
              <w:t>7</w:t>
            </w:r>
            <w:r w:rsidR="006D7677">
              <w:rPr>
                <w:noProof/>
                <w:webHidden/>
              </w:rPr>
              <w:fldChar w:fldCharType="end"/>
            </w:r>
          </w:hyperlink>
        </w:p>
        <w:p w14:paraId="21817281" w14:textId="29614715" w:rsidR="006D7677" w:rsidRDefault="00123C50">
          <w:pPr>
            <w:pStyle w:val="TOC1"/>
            <w:tabs>
              <w:tab w:val="right" w:leader="dot" w:pos="9628"/>
            </w:tabs>
            <w:rPr>
              <w:rFonts w:asciiTheme="minorHAnsi" w:eastAsiaTheme="minorEastAsia" w:hAnsiTheme="minorHAnsi"/>
              <w:noProof/>
              <w:sz w:val="22"/>
              <w:lang w:eastAsia="en-AU"/>
            </w:rPr>
          </w:pPr>
          <w:hyperlink w:anchor="_Toc70607186" w:history="1">
            <w:r w:rsidR="006D7677" w:rsidRPr="005E73AC">
              <w:rPr>
                <w:rStyle w:val="Hyperlink"/>
                <w:rFonts w:eastAsia="Times New Roman"/>
                <w:noProof/>
                <w:lang w:eastAsia="en-AU"/>
              </w:rPr>
              <w:t>Levels of supervision</w:t>
            </w:r>
            <w:r w:rsidR="006D7677">
              <w:rPr>
                <w:noProof/>
                <w:webHidden/>
              </w:rPr>
              <w:tab/>
            </w:r>
            <w:r w:rsidR="006D7677">
              <w:rPr>
                <w:noProof/>
                <w:webHidden/>
              </w:rPr>
              <w:fldChar w:fldCharType="begin"/>
            </w:r>
            <w:r w:rsidR="006D7677">
              <w:rPr>
                <w:noProof/>
                <w:webHidden/>
              </w:rPr>
              <w:instrText xml:space="preserve"> PAGEREF _Toc70607186 \h </w:instrText>
            </w:r>
            <w:r w:rsidR="006D7677">
              <w:rPr>
                <w:noProof/>
                <w:webHidden/>
              </w:rPr>
            </w:r>
            <w:r w:rsidR="006D7677">
              <w:rPr>
                <w:noProof/>
                <w:webHidden/>
              </w:rPr>
              <w:fldChar w:fldCharType="separate"/>
            </w:r>
            <w:r>
              <w:rPr>
                <w:noProof/>
                <w:webHidden/>
              </w:rPr>
              <w:t>7</w:t>
            </w:r>
            <w:r w:rsidR="006D7677">
              <w:rPr>
                <w:noProof/>
                <w:webHidden/>
              </w:rPr>
              <w:fldChar w:fldCharType="end"/>
            </w:r>
          </w:hyperlink>
        </w:p>
        <w:p w14:paraId="7E127196" w14:textId="16D0B810" w:rsidR="006D7677" w:rsidRDefault="00123C50">
          <w:pPr>
            <w:pStyle w:val="TOC1"/>
            <w:tabs>
              <w:tab w:val="right" w:leader="dot" w:pos="9628"/>
            </w:tabs>
            <w:rPr>
              <w:rFonts w:asciiTheme="minorHAnsi" w:eastAsiaTheme="minorEastAsia" w:hAnsiTheme="minorHAnsi"/>
              <w:noProof/>
              <w:sz w:val="22"/>
              <w:lang w:eastAsia="en-AU"/>
            </w:rPr>
          </w:pPr>
          <w:hyperlink w:anchor="_Toc70607187" w:history="1">
            <w:r w:rsidR="006D7677" w:rsidRPr="005E73AC">
              <w:rPr>
                <w:rStyle w:val="Hyperlink"/>
                <w:rFonts w:eastAsia="Times New Roman"/>
                <w:noProof/>
                <w:lang w:eastAsia="en-AU"/>
              </w:rPr>
              <w:t>Legal requirement for supervision of interns</w:t>
            </w:r>
            <w:r w:rsidR="006D7677">
              <w:rPr>
                <w:noProof/>
                <w:webHidden/>
              </w:rPr>
              <w:tab/>
            </w:r>
            <w:r w:rsidR="006D7677">
              <w:rPr>
                <w:noProof/>
                <w:webHidden/>
              </w:rPr>
              <w:fldChar w:fldCharType="begin"/>
            </w:r>
            <w:r w:rsidR="006D7677">
              <w:rPr>
                <w:noProof/>
                <w:webHidden/>
              </w:rPr>
              <w:instrText xml:space="preserve"> PAGEREF _Toc70607187 \h </w:instrText>
            </w:r>
            <w:r w:rsidR="006D7677">
              <w:rPr>
                <w:noProof/>
                <w:webHidden/>
              </w:rPr>
            </w:r>
            <w:r w:rsidR="006D7677">
              <w:rPr>
                <w:noProof/>
                <w:webHidden/>
              </w:rPr>
              <w:fldChar w:fldCharType="separate"/>
            </w:r>
            <w:r>
              <w:rPr>
                <w:noProof/>
                <w:webHidden/>
              </w:rPr>
              <w:t>7</w:t>
            </w:r>
            <w:r w:rsidR="006D7677">
              <w:rPr>
                <w:noProof/>
                <w:webHidden/>
              </w:rPr>
              <w:fldChar w:fldCharType="end"/>
            </w:r>
          </w:hyperlink>
        </w:p>
        <w:p w14:paraId="249C8693" w14:textId="78B1A227" w:rsidR="006D7677" w:rsidRDefault="00123C50">
          <w:pPr>
            <w:pStyle w:val="TOC1"/>
            <w:tabs>
              <w:tab w:val="right" w:leader="dot" w:pos="9628"/>
            </w:tabs>
            <w:rPr>
              <w:rFonts w:asciiTheme="minorHAnsi" w:eastAsiaTheme="minorEastAsia" w:hAnsiTheme="minorHAnsi"/>
              <w:noProof/>
              <w:sz w:val="22"/>
              <w:lang w:eastAsia="en-AU"/>
            </w:rPr>
          </w:pPr>
          <w:hyperlink w:anchor="_Toc70607188" w:history="1">
            <w:r w:rsidR="006D7677" w:rsidRPr="005E73AC">
              <w:rPr>
                <w:rStyle w:val="Hyperlink"/>
                <w:noProof/>
                <w:lang w:val="en-US"/>
              </w:rPr>
              <w:t>Components of an EPA</w:t>
            </w:r>
            <w:r w:rsidR="006D7677">
              <w:rPr>
                <w:noProof/>
                <w:webHidden/>
              </w:rPr>
              <w:tab/>
            </w:r>
            <w:r w:rsidR="006D7677">
              <w:rPr>
                <w:noProof/>
                <w:webHidden/>
              </w:rPr>
              <w:fldChar w:fldCharType="begin"/>
            </w:r>
            <w:r w:rsidR="006D7677">
              <w:rPr>
                <w:noProof/>
                <w:webHidden/>
              </w:rPr>
              <w:instrText xml:space="preserve"> PAGEREF _Toc70607188 \h </w:instrText>
            </w:r>
            <w:r w:rsidR="006D7677">
              <w:rPr>
                <w:noProof/>
                <w:webHidden/>
              </w:rPr>
            </w:r>
            <w:r w:rsidR="006D7677">
              <w:rPr>
                <w:noProof/>
                <w:webHidden/>
              </w:rPr>
              <w:fldChar w:fldCharType="separate"/>
            </w:r>
            <w:r>
              <w:rPr>
                <w:noProof/>
                <w:webHidden/>
              </w:rPr>
              <w:t>8</w:t>
            </w:r>
            <w:r w:rsidR="006D7677">
              <w:rPr>
                <w:noProof/>
                <w:webHidden/>
              </w:rPr>
              <w:fldChar w:fldCharType="end"/>
            </w:r>
          </w:hyperlink>
        </w:p>
        <w:p w14:paraId="23E36B47" w14:textId="025DC08A" w:rsidR="006D7677" w:rsidRDefault="00123C50">
          <w:pPr>
            <w:pStyle w:val="TOC1"/>
            <w:tabs>
              <w:tab w:val="right" w:leader="dot" w:pos="9628"/>
            </w:tabs>
            <w:rPr>
              <w:rFonts w:asciiTheme="minorHAnsi" w:eastAsiaTheme="minorEastAsia" w:hAnsiTheme="minorHAnsi"/>
              <w:noProof/>
              <w:sz w:val="22"/>
              <w:lang w:eastAsia="en-AU"/>
            </w:rPr>
          </w:pPr>
          <w:hyperlink w:anchor="_Toc70607189" w:history="1">
            <w:r w:rsidR="006D7677" w:rsidRPr="005E73AC">
              <w:rPr>
                <w:rStyle w:val="Hyperlink"/>
                <w:noProof/>
                <w:lang w:val="en-US"/>
              </w:rPr>
              <w:t>Assessing pharmacy intern performance using EPAs</w:t>
            </w:r>
            <w:r w:rsidR="006D7677">
              <w:rPr>
                <w:noProof/>
                <w:webHidden/>
              </w:rPr>
              <w:tab/>
            </w:r>
            <w:r w:rsidR="006D7677">
              <w:rPr>
                <w:noProof/>
                <w:webHidden/>
              </w:rPr>
              <w:fldChar w:fldCharType="begin"/>
            </w:r>
            <w:r w:rsidR="006D7677">
              <w:rPr>
                <w:noProof/>
                <w:webHidden/>
              </w:rPr>
              <w:instrText xml:space="preserve"> PAGEREF _Toc70607189 \h </w:instrText>
            </w:r>
            <w:r w:rsidR="006D7677">
              <w:rPr>
                <w:noProof/>
                <w:webHidden/>
              </w:rPr>
            </w:r>
            <w:r w:rsidR="006D7677">
              <w:rPr>
                <w:noProof/>
                <w:webHidden/>
              </w:rPr>
              <w:fldChar w:fldCharType="separate"/>
            </w:r>
            <w:r>
              <w:rPr>
                <w:noProof/>
                <w:webHidden/>
              </w:rPr>
              <w:t>9</w:t>
            </w:r>
            <w:r w:rsidR="006D7677">
              <w:rPr>
                <w:noProof/>
                <w:webHidden/>
              </w:rPr>
              <w:fldChar w:fldCharType="end"/>
            </w:r>
          </w:hyperlink>
        </w:p>
        <w:p w14:paraId="66974D45" w14:textId="3D484C5F" w:rsidR="006D7677" w:rsidRDefault="00123C50">
          <w:pPr>
            <w:pStyle w:val="TOC3"/>
            <w:rPr>
              <w:rFonts w:asciiTheme="minorHAnsi" w:eastAsiaTheme="minorEastAsia" w:hAnsiTheme="minorHAnsi"/>
              <w:noProof/>
              <w:sz w:val="22"/>
              <w:lang w:eastAsia="en-AU"/>
            </w:rPr>
          </w:pPr>
          <w:hyperlink w:anchor="_Toc70607190" w:history="1">
            <w:r w:rsidR="006D7677" w:rsidRPr="005E73AC">
              <w:rPr>
                <w:rStyle w:val="Hyperlink"/>
                <w:noProof/>
                <w:lang w:val="en-US"/>
              </w:rPr>
              <w:t>Short Practice Observations (SPOs)</w:t>
            </w:r>
            <w:r w:rsidR="006D7677">
              <w:rPr>
                <w:noProof/>
                <w:webHidden/>
              </w:rPr>
              <w:tab/>
            </w:r>
            <w:r w:rsidR="006D7677">
              <w:rPr>
                <w:noProof/>
                <w:webHidden/>
              </w:rPr>
              <w:fldChar w:fldCharType="begin"/>
            </w:r>
            <w:r w:rsidR="006D7677">
              <w:rPr>
                <w:noProof/>
                <w:webHidden/>
              </w:rPr>
              <w:instrText xml:space="preserve"> PAGEREF _Toc70607190 \h </w:instrText>
            </w:r>
            <w:r w:rsidR="006D7677">
              <w:rPr>
                <w:noProof/>
                <w:webHidden/>
              </w:rPr>
            </w:r>
            <w:r w:rsidR="006D7677">
              <w:rPr>
                <w:noProof/>
                <w:webHidden/>
              </w:rPr>
              <w:fldChar w:fldCharType="separate"/>
            </w:r>
            <w:r>
              <w:rPr>
                <w:noProof/>
                <w:webHidden/>
              </w:rPr>
              <w:t>10</w:t>
            </w:r>
            <w:r w:rsidR="006D7677">
              <w:rPr>
                <w:noProof/>
                <w:webHidden/>
              </w:rPr>
              <w:fldChar w:fldCharType="end"/>
            </w:r>
          </w:hyperlink>
        </w:p>
        <w:p w14:paraId="557C3F09" w14:textId="2BC1709C" w:rsidR="006D7677" w:rsidRDefault="00123C50">
          <w:pPr>
            <w:pStyle w:val="TOC3"/>
            <w:rPr>
              <w:rFonts w:asciiTheme="minorHAnsi" w:eastAsiaTheme="minorEastAsia" w:hAnsiTheme="minorHAnsi"/>
              <w:noProof/>
              <w:sz w:val="22"/>
              <w:lang w:eastAsia="en-AU"/>
            </w:rPr>
          </w:pPr>
          <w:hyperlink w:anchor="_Toc70607191" w:history="1">
            <w:r w:rsidR="006D7677" w:rsidRPr="005E73AC">
              <w:rPr>
                <w:rStyle w:val="Hyperlink"/>
                <w:noProof/>
                <w:lang w:val="en-US"/>
              </w:rPr>
              <w:t>Entrustment discussions</w:t>
            </w:r>
            <w:r w:rsidR="006D7677">
              <w:rPr>
                <w:noProof/>
                <w:webHidden/>
              </w:rPr>
              <w:tab/>
            </w:r>
            <w:r w:rsidR="006D7677">
              <w:rPr>
                <w:noProof/>
                <w:webHidden/>
              </w:rPr>
              <w:fldChar w:fldCharType="begin"/>
            </w:r>
            <w:r w:rsidR="006D7677">
              <w:rPr>
                <w:noProof/>
                <w:webHidden/>
              </w:rPr>
              <w:instrText xml:space="preserve"> PAGEREF _Toc70607191 \h </w:instrText>
            </w:r>
            <w:r w:rsidR="006D7677">
              <w:rPr>
                <w:noProof/>
                <w:webHidden/>
              </w:rPr>
            </w:r>
            <w:r w:rsidR="006D7677">
              <w:rPr>
                <w:noProof/>
                <w:webHidden/>
              </w:rPr>
              <w:fldChar w:fldCharType="separate"/>
            </w:r>
            <w:r>
              <w:rPr>
                <w:noProof/>
                <w:webHidden/>
              </w:rPr>
              <w:t>10</w:t>
            </w:r>
            <w:r w:rsidR="006D7677">
              <w:rPr>
                <w:noProof/>
                <w:webHidden/>
              </w:rPr>
              <w:fldChar w:fldCharType="end"/>
            </w:r>
          </w:hyperlink>
        </w:p>
        <w:p w14:paraId="1A8B167C" w14:textId="0FD5D387" w:rsidR="006D7677" w:rsidRDefault="00123C50">
          <w:pPr>
            <w:pStyle w:val="TOC3"/>
            <w:rPr>
              <w:rFonts w:asciiTheme="minorHAnsi" w:eastAsiaTheme="minorEastAsia" w:hAnsiTheme="minorHAnsi"/>
              <w:noProof/>
              <w:sz w:val="22"/>
              <w:lang w:eastAsia="en-AU"/>
            </w:rPr>
          </w:pPr>
          <w:hyperlink w:anchor="_Toc70607192" w:history="1">
            <w:r w:rsidR="006D7677" w:rsidRPr="005E73AC">
              <w:rPr>
                <w:rStyle w:val="Hyperlink"/>
                <w:noProof/>
                <w:lang w:val="en-US"/>
              </w:rPr>
              <w:t>Products</w:t>
            </w:r>
            <w:r w:rsidR="006D7677">
              <w:rPr>
                <w:noProof/>
                <w:webHidden/>
              </w:rPr>
              <w:tab/>
            </w:r>
            <w:r w:rsidR="006D7677">
              <w:rPr>
                <w:noProof/>
                <w:webHidden/>
              </w:rPr>
              <w:fldChar w:fldCharType="begin"/>
            </w:r>
            <w:r w:rsidR="006D7677">
              <w:rPr>
                <w:noProof/>
                <w:webHidden/>
              </w:rPr>
              <w:instrText xml:space="preserve"> PAGEREF _Toc70607192 \h </w:instrText>
            </w:r>
            <w:r w:rsidR="006D7677">
              <w:rPr>
                <w:noProof/>
                <w:webHidden/>
              </w:rPr>
            </w:r>
            <w:r w:rsidR="006D7677">
              <w:rPr>
                <w:noProof/>
                <w:webHidden/>
              </w:rPr>
              <w:fldChar w:fldCharType="separate"/>
            </w:r>
            <w:r>
              <w:rPr>
                <w:noProof/>
                <w:webHidden/>
              </w:rPr>
              <w:t>11</w:t>
            </w:r>
            <w:r w:rsidR="006D7677">
              <w:rPr>
                <w:noProof/>
                <w:webHidden/>
              </w:rPr>
              <w:fldChar w:fldCharType="end"/>
            </w:r>
          </w:hyperlink>
        </w:p>
        <w:p w14:paraId="64EA6132" w14:textId="12CCD8B7" w:rsidR="006D7677" w:rsidRDefault="00123C50">
          <w:pPr>
            <w:pStyle w:val="TOC1"/>
            <w:tabs>
              <w:tab w:val="right" w:leader="dot" w:pos="9628"/>
            </w:tabs>
            <w:rPr>
              <w:rFonts w:asciiTheme="minorHAnsi" w:eastAsiaTheme="minorEastAsia" w:hAnsiTheme="minorHAnsi"/>
              <w:noProof/>
              <w:sz w:val="22"/>
              <w:lang w:eastAsia="en-AU"/>
            </w:rPr>
          </w:pPr>
          <w:hyperlink w:anchor="_Toc70607193" w:history="1">
            <w:r w:rsidR="006D7677" w:rsidRPr="005E73AC">
              <w:rPr>
                <w:rStyle w:val="Hyperlink"/>
                <w:noProof/>
                <w:lang w:val="en-US"/>
              </w:rPr>
              <w:t>References</w:t>
            </w:r>
            <w:r w:rsidR="006D7677">
              <w:rPr>
                <w:noProof/>
                <w:webHidden/>
              </w:rPr>
              <w:tab/>
            </w:r>
            <w:r w:rsidR="006D7677">
              <w:rPr>
                <w:noProof/>
                <w:webHidden/>
              </w:rPr>
              <w:fldChar w:fldCharType="begin"/>
            </w:r>
            <w:r w:rsidR="006D7677">
              <w:rPr>
                <w:noProof/>
                <w:webHidden/>
              </w:rPr>
              <w:instrText xml:space="preserve"> PAGEREF _Toc70607193 \h </w:instrText>
            </w:r>
            <w:r w:rsidR="006D7677">
              <w:rPr>
                <w:noProof/>
                <w:webHidden/>
              </w:rPr>
            </w:r>
            <w:r w:rsidR="006D7677">
              <w:rPr>
                <w:noProof/>
                <w:webHidden/>
              </w:rPr>
              <w:fldChar w:fldCharType="separate"/>
            </w:r>
            <w:r>
              <w:rPr>
                <w:noProof/>
                <w:webHidden/>
              </w:rPr>
              <w:t>11</w:t>
            </w:r>
            <w:r w:rsidR="006D7677">
              <w:rPr>
                <w:noProof/>
                <w:webHidden/>
              </w:rPr>
              <w:fldChar w:fldCharType="end"/>
            </w:r>
          </w:hyperlink>
        </w:p>
        <w:p w14:paraId="534B092F" w14:textId="0E9FA651" w:rsidR="00D935EB" w:rsidRDefault="00D935EB">
          <w:r>
            <w:rPr>
              <w:b/>
              <w:bCs/>
              <w:noProof/>
            </w:rPr>
            <w:fldChar w:fldCharType="end"/>
          </w:r>
        </w:p>
      </w:sdtContent>
    </w:sdt>
    <w:p w14:paraId="00AC403F" w14:textId="77777777" w:rsidR="002645B9" w:rsidRDefault="002645B9">
      <w:pPr>
        <w:spacing w:after="160" w:line="259" w:lineRule="auto"/>
        <w:rPr>
          <w:rStyle w:val="IntenseEmphasis"/>
          <w:i w:val="0"/>
          <w:iCs w:val="0"/>
          <w:color w:val="auto"/>
        </w:rPr>
      </w:pPr>
      <w:r>
        <w:rPr>
          <w:rStyle w:val="IntenseEmphasis"/>
          <w:i w:val="0"/>
          <w:iCs w:val="0"/>
          <w:color w:val="auto"/>
        </w:rPr>
        <w:br w:type="page"/>
      </w:r>
    </w:p>
    <w:p w14:paraId="10B344FD" w14:textId="08B56827" w:rsidR="00C5745E" w:rsidRDefault="00C5745E" w:rsidP="00F7035E">
      <w:pPr>
        <w:pStyle w:val="Heading1"/>
      </w:pPr>
      <w:bookmarkStart w:id="0" w:name="_Toc70607180"/>
      <w:r>
        <w:lastRenderedPageBreak/>
        <w:t>List of Tables</w:t>
      </w:r>
      <w:bookmarkEnd w:id="0"/>
    </w:p>
    <w:p w14:paraId="7B910842" w14:textId="70386D0A" w:rsidR="00C5745E" w:rsidRDefault="00C5745E">
      <w:pPr>
        <w:pStyle w:val="TableofFigures"/>
        <w:tabs>
          <w:tab w:val="right" w:leader="dot" w:pos="9628"/>
        </w:tabs>
        <w:rPr>
          <w:rFonts w:asciiTheme="minorHAnsi" w:eastAsiaTheme="minorEastAsia" w:hAnsiTheme="minorHAnsi"/>
          <w:noProof/>
          <w:sz w:val="22"/>
          <w:lang w:eastAsia="en-AU"/>
        </w:rPr>
      </w:pPr>
      <w:r>
        <w:fldChar w:fldCharType="begin"/>
      </w:r>
      <w:r>
        <w:instrText xml:space="preserve"> TOC \h \z \c "Table" </w:instrText>
      </w:r>
      <w:r>
        <w:fldChar w:fldCharType="separate"/>
      </w:r>
      <w:hyperlink w:anchor="_Toc70607132" w:history="1">
        <w:r w:rsidRPr="0076181C">
          <w:rPr>
            <w:rStyle w:val="Hyperlink"/>
            <w:noProof/>
          </w:rPr>
          <w:t>Table 1 Levels of supervision for Assessment of EPA</w:t>
        </w:r>
        <w:r>
          <w:rPr>
            <w:noProof/>
            <w:webHidden/>
          </w:rPr>
          <w:tab/>
        </w:r>
        <w:r>
          <w:rPr>
            <w:noProof/>
            <w:webHidden/>
          </w:rPr>
          <w:fldChar w:fldCharType="begin"/>
        </w:r>
        <w:r>
          <w:rPr>
            <w:noProof/>
            <w:webHidden/>
          </w:rPr>
          <w:instrText xml:space="preserve"> PAGEREF _Toc70607132 \h </w:instrText>
        </w:r>
        <w:r>
          <w:rPr>
            <w:noProof/>
            <w:webHidden/>
          </w:rPr>
        </w:r>
        <w:r>
          <w:rPr>
            <w:noProof/>
            <w:webHidden/>
          </w:rPr>
          <w:fldChar w:fldCharType="separate"/>
        </w:r>
        <w:r w:rsidR="00123C50">
          <w:rPr>
            <w:noProof/>
            <w:webHidden/>
          </w:rPr>
          <w:t>7</w:t>
        </w:r>
        <w:r>
          <w:rPr>
            <w:noProof/>
            <w:webHidden/>
          </w:rPr>
          <w:fldChar w:fldCharType="end"/>
        </w:r>
      </w:hyperlink>
    </w:p>
    <w:p w14:paraId="05F6B93A" w14:textId="2ECF52F4" w:rsidR="00C5745E" w:rsidRDefault="00123C50">
      <w:pPr>
        <w:pStyle w:val="TableofFigures"/>
        <w:tabs>
          <w:tab w:val="right" w:leader="dot" w:pos="9628"/>
        </w:tabs>
        <w:rPr>
          <w:rFonts w:asciiTheme="minorHAnsi" w:eastAsiaTheme="minorEastAsia" w:hAnsiTheme="minorHAnsi"/>
          <w:noProof/>
          <w:sz w:val="22"/>
          <w:lang w:eastAsia="en-AU"/>
        </w:rPr>
      </w:pPr>
      <w:hyperlink w:anchor="_Toc70607133" w:history="1">
        <w:r w:rsidR="00C5745E" w:rsidRPr="0076181C">
          <w:rPr>
            <w:rStyle w:val="Hyperlink"/>
            <w:noProof/>
          </w:rPr>
          <w:t>Table 2 Eight components of an EPA</w:t>
        </w:r>
        <w:r w:rsidR="00C5745E">
          <w:rPr>
            <w:noProof/>
            <w:webHidden/>
          </w:rPr>
          <w:tab/>
        </w:r>
        <w:r w:rsidR="00C5745E">
          <w:rPr>
            <w:noProof/>
            <w:webHidden/>
          </w:rPr>
          <w:fldChar w:fldCharType="begin"/>
        </w:r>
        <w:r w:rsidR="00C5745E">
          <w:rPr>
            <w:noProof/>
            <w:webHidden/>
          </w:rPr>
          <w:instrText xml:space="preserve"> PAGEREF _Toc70607133 \h </w:instrText>
        </w:r>
        <w:r w:rsidR="00C5745E">
          <w:rPr>
            <w:noProof/>
            <w:webHidden/>
          </w:rPr>
        </w:r>
        <w:r w:rsidR="00C5745E">
          <w:rPr>
            <w:noProof/>
            <w:webHidden/>
          </w:rPr>
          <w:fldChar w:fldCharType="separate"/>
        </w:r>
        <w:r>
          <w:rPr>
            <w:noProof/>
            <w:webHidden/>
          </w:rPr>
          <w:t>8</w:t>
        </w:r>
        <w:r w:rsidR="00C5745E">
          <w:rPr>
            <w:noProof/>
            <w:webHidden/>
          </w:rPr>
          <w:fldChar w:fldCharType="end"/>
        </w:r>
      </w:hyperlink>
    </w:p>
    <w:p w14:paraId="32694E53" w14:textId="652C9340" w:rsidR="00C5745E" w:rsidRPr="00C5745E" w:rsidRDefault="00C5745E" w:rsidP="00C5745E">
      <w:r>
        <w:fldChar w:fldCharType="end"/>
      </w:r>
    </w:p>
    <w:p w14:paraId="49C580D7" w14:textId="36525C7F" w:rsidR="009218A0" w:rsidRDefault="00140B7F" w:rsidP="00F7035E">
      <w:pPr>
        <w:pStyle w:val="Heading1"/>
      </w:pPr>
      <w:bookmarkStart w:id="1" w:name="_Toc70607181"/>
      <w:r>
        <w:t xml:space="preserve">List of </w:t>
      </w:r>
      <w:r w:rsidR="00F376D4">
        <w:t>A</w:t>
      </w:r>
      <w:r>
        <w:t>bbreviations</w:t>
      </w:r>
      <w:bookmarkEnd w:id="1"/>
    </w:p>
    <w:tbl>
      <w:tblPr>
        <w:tblStyle w:val="GridTable1Light-Accent1"/>
        <w:tblW w:w="0" w:type="auto"/>
        <w:tblLook w:val="0480" w:firstRow="0" w:lastRow="0" w:firstColumn="1" w:lastColumn="0" w:noHBand="0" w:noVBand="1"/>
      </w:tblPr>
      <w:tblGrid>
        <w:gridCol w:w="2547"/>
        <w:gridCol w:w="7081"/>
      </w:tblGrid>
      <w:tr w:rsidR="00574A9B" w:rsidRPr="009D761F" w14:paraId="5DA4FFF5" w14:textId="77777777" w:rsidTr="006F4273">
        <w:trPr>
          <w:tblHeader/>
        </w:trPr>
        <w:tc>
          <w:tcPr>
            <w:cnfStyle w:val="001000000000" w:firstRow="0" w:lastRow="0" w:firstColumn="1" w:lastColumn="0" w:oddVBand="0" w:evenVBand="0" w:oddHBand="0" w:evenHBand="0" w:firstRowFirstColumn="0" w:firstRowLastColumn="0" w:lastRowFirstColumn="0" w:lastRowLastColumn="0"/>
            <w:tcW w:w="2547" w:type="dxa"/>
            <w:tcBorders>
              <w:bottom w:val="single" w:sz="12" w:space="0" w:color="C2E9C6" w:themeColor="accent1" w:themeTint="66"/>
            </w:tcBorders>
          </w:tcPr>
          <w:p w14:paraId="4F93EB70" w14:textId="77777777" w:rsidR="00574A9B" w:rsidRPr="009D761F" w:rsidRDefault="00574A9B" w:rsidP="00574A9B">
            <w:pPr>
              <w:spacing w:after="120" w:line="276" w:lineRule="auto"/>
              <w:rPr>
                <w:rStyle w:val="IntenseEmphasis"/>
                <w:i w:val="0"/>
                <w:iCs w:val="0"/>
                <w:color w:val="auto"/>
              </w:rPr>
            </w:pPr>
            <w:r w:rsidRPr="009D761F">
              <w:rPr>
                <w:rStyle w:val="IntenseEmphasis"/>
                <w:i w:val="0"/>
                <w:iCs w:val="0"/>
                <w:color w:val="auto"/>
              </w:rPr>
              <w:t>Term</w:t>
            </w:r>
          </w:p>
        </w:tc>
        <w:tc>
          <w:tcPr>
            <w:tcW w:w="7081" w:type="dxa"/>
            <w:tcBorders>
              <w:bottom w:val="single" w:sz="12" w:space="0" w:color="C2E9C6" w:themeColor="accent1" w:themeTint="66"/>
            </w:tcBorders>
          </w:tcPr>
          <w:p w14:paraId="78BBF4A3" w14:textId="77777777" w:rsidR="00574A9B" w:rsidRPr="009D761F" w:rsidRDefault="00574A9B" w:rsidP="00574A9B">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b/>
                <w:bCs/>
                <w:i w:val="0"/>
                <w:iCs w:val="0"/>
                <w:color w:val="FF0000"/>
              </w:rPr>
            </w:pPr>
            <w:r w:rsidRPr="009D761F">
              <w:rPr>
                <w:rStyle w:val="IntenseEmphasis"/>
                <w:b/>
                <w:bCs/>
                <w:i w:val="0"/>
                <w:iCs w:val="0"/>
                <w:color w:val="auto"/>
              </w:rPr>
              <w:t>Meaning</w:t>
            </w:r>
          </w:p>
        </w:tc>
      </w:tr>
      <w:tr w:rsidR="00574A9B" w:rsidRPr="009D761F" w14:paraId="5B4AFF3A" w14:textId="77777777" w:rsidTr="00107EEC">
        <w:tc>
          <w:tcPr>
            <w:cnfStyle w:val="001000000000" w:firstRow="0" w:lastRow="0" w:firstColumn="1" w:lastColumn="0" w:oddVBand="0" w:evenVBand="0" w:oddHBand="0" w:evenHBand="0" w:firstRowFirstColumn="0" w:firstRowLastColumn="0" w:lastRowFirstColumn="0" w:lastRowLastColumn="0"/>
            <w:tcW w:w="2547" w:type="dxa"/>
            <w:tcBorders>
              <w:top w:val="single" w:sz="12" w:space="0" w:color="C2E9C6" w:themeColor="accent1" w:themeTint="66"/>
            </w:tcBorders>
          </w:tcPr>
          <w:p w14:paraId="1DFC45D4" w14:textId="77777777" w:rsidR="00574A9B" w:rsidRPr="009D761F" w:rsidRDefault="00574A9B" w:rsidP="00574A9B">
            <w:pPr>
              <w:spacing w:after="120" w:line="276" w:lineRule="auto"/>
              <w:rPr>
                <w:rStyle w:val="IntenseEmphasis"/>
                <w:i w:val="0"/>
                <w:iCs w:val="0"/>
                <w:color w:val="auto"/>
              </w:rPr>
            </w:pPr>
            <w:r w:rsidRPr="009D761F">
              <w:rPr>
                <w:rStyle w:val="IntenseEmphasis"/>
                <w:i w:val="0"/>
                <w:iCs w:val="0"/>
                <w:color w:val="auto"/>
              </w:rPr>
              <w:t>APC</w:t>
            </w:r>
          </w:p>
        </w:tc>
        <w:tc>
          <w:tcPr>
            <w:tcW w:w="7081" w:type="dxa"/>
            <w:tcBorders>
              <w:top w:val="single" w:sz="12" w:space="0" w:color="C2E9C6" w:themeColor="accent1" w:themeTint="66"/>
            </w:tcBorders>
          </w:tcPr>
          <w:p w14:paraId="720F981A" w14:textId="77777777" w:rsidR="00574A9B" w:rsidRPr="009D761F" w:rsidRDefault="00574A9B" w:rsidP="00574A9B">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FF0000"/>
              </w:rPr>
            </w:pPr>
            <w:r w:rsidRPr="009D761F">
              <w:rPr>
                <w:rStyle w:val="IntenseEmphasis"/>
                <w:i w:val="0"/>
                <w:iCs w:val="0"/>
                <w:color w:val="auto"/>
              </w:rPr>
              <w:t xml:space="preserve">Australian Pharmacy Council </w:t>
            </w:r>
          </w:p>
        </w:tc>
      </w:tr>
      <w:tr w:rsidR="008E0192" w:rsidRPr="004A7335" w14:paraId="575BADBE" w14:textId="77777777" w:rsidTr="006F427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C2E9C6" w:themeColor="accent1" w:themeTint="66"/>
            </w:tcBorders>
          </w:tcPr>
          <w:p w14:paraId="360BA6B8" w14:textId="2DBCB843" w:rsidR="008E0192" w:rsidRDefault="008E0192" w:rsidP="004A7335">
            <w:pPr>
              <w:rPr>
                <w:rStyle w:val="IntenseEmphasis"/>
                <w:i w:val="0"/>
                <w:iCs w:val="0"/>
                <w:color w:val="auto"/>
              </w:rPr>
            </w:pPr>
            <w:r>
              <w:rPr>
                <w:rStyle w:val="IntenseEmphasis"/>
                <w:i w:val="0"/>
                <w:iCs w:val="0"/>
                <w:color w:val="auto"/>
              </w:rPr>
              <w:t>A RICH</w:t>
            </w:r>
          </w:p>
        </w:tc>
        <w:tc>
          <w:tcPr>
            <w:tcW w:w="7081" w:type="dxa"/>
            <w:tcBorders>
              <w:top w:val="single" w:sz="4" w:space="0" w:color="C2E9C6" w:themeColor="accent1" w:themeTint="66"/>
            </w:tcBorders>
          </w:tcPr>
          <w:p w14:paraId="78079E95" w14:textId="2213819A" w:rsidR="008E0192" w:rsidRPr="004A7335" w:rsidRDefault="008E0192" w:rsidP="008E0192">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Pr>
                <w:rStyle w:val="IntenseEmphasis"/>
                <w:i w:val="0"/>
                <w:iCs w:val="0"/>
                <w:color w:val="auto"/>
              </w:rPr>
              <w:t>Agency, Reliability, Integrity, Capability, Humility</w:t>
            </w:r>
          </w:p>
        </w:tc>
      </w:tr>
      <w:tr w:rsidR="004A7335" w:rsidRPr="004A7335" w14:paraId="4A036723" w14:textId="77777777" w:rsidTr="006F4273">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C2E9C6" w:themeColor="accent1" w:themeTint="66"/>
            </w:tcBorders>
          </w:tcPr>
          <w:p w14:paraId="32EF1FEC" w14:textId="72BAF6B6" w:rsidR="004A7335" w:rsidRPr="009D761F" w:rsidRDefault="004A7335" w:rsidP="004A7335">
            <w:pPr>
              <w:spacing w:after="120" w:line="276" w:lineRule="auto"/>
              <w:rPr>
                <w:rStyle w:val="IntenseEmphasis"/>
                <w:i w:val="0"/>
                <w:iCs w:val="0"/>
                <w:color w:val="auto"/>
              </w:rPr>
            </w:pPr>
            <w:r>
              <w:rPr>
                <w:rStyle w:val="IntenseEmphasis"/>
                <w:i w:val="0"/>
                <w:iCs w:val="0"/>
                <w:color w:val="auto"/>
              </w:rPr>
              <w:t>CbD</w:t>
            </w:r>
          </w:p>
        </w:tc>
        <w:tc>
          <w:tcPr>
            <w:tcW w:w="7081" w:type="dxa"/>
            <w:tcBorders>
              <w:top w:val="single" w:sz="4" w:space="0" w:color="C2E9C6" w:themeColor="accent1" w:themeTint="66"/>
            </w:tcBorders>
          </w:tcPr>
          <w:p w14:paraId="1AA86A51" w14:textId="47C0474F" w:rsidR="004A7335" w:rsidRPr="004A7335" w:rsidRDefault="004A7335" w:rsidP="004A7335">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4A7335">
              <w:rPr>
                <w:rStyle w:val="IntenseEmphasis"/>
                <w:i w:val="0"/>
                <w:iCs w:val="0"/>
                <w:color w:val="auto"/>
              </w:rPr>
              <w:t>Case-based Discussion</w:t>
            </w:r>
          </w:p>
        </w:tc>
      </w:tr>
      <w:tr w:rsidR="00574A9B" w:rsidRPr="004A7335" w14:paraId="38DFB769" w14:textId="77777777" w:rsidTr="00107EEC">
        <w:tc>
          <w:tcPr>
            <w:cnfStyle w:val="001000000000" w:firstRow="0" w:lastRow="0" w:firstColumn="1" w:lastColumn="0" w:oddVBand="0" w:evenVBand="0" w:oddHBand="0" w:evenHBand="0" w:firstRowFirstColumn="0" w:firstRowLastColumn="0" w:lastRowFirstColumn="0" w:lastRowLastColumn="0"/>
            <w:tcW w:w="2547" w:type="dxa"/>
          </w:tcPr>
          <w:p w14:paraId="672E2F8E" w14:textId="2B3059D1" w:rsidR="00574A9B" w:rsidRPr="009D761F" w:rsidRDefault="008F0E3F" w:rsidP="00574A9B">
            <w:pPr>
              <w:spacing w:after="120" w:line="276" w:lineRule="auto"/>
              <w:rPr>
                <w:rStyle w:val="IntenseEmphasis"/>
                <w:i w:val="0"/>
                <w:iCs w:val="0"/>
                <w:color w:val="auto"/>
              </w:rPr>
            </w:pPr>
            <w:r>
              <w:rPr>
                <w:rStyle w:val="IntenseEmphasis"/>
                <w:i w:val="0"/>
                <w:iCs w:val="0"/>
                <w:color w:val="auto"/>
              </w:rPr>
              <w:t>CBME</w:t>
            </w:r>
          </w:p>
        </w:tc>
        <w:tc>
          <w:tcPr>
            <w:tcW w:w="7081" w:type="dxa"/>
          </w:tcPr>
          <w:p w14:paraId="71E35278" w14:textId="16285C31" w:rsidR="00574A9B" w:rsidRPr="004A7335" w:rsidRDefault="008F0E3F" w:rsidP="00574A9B">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4A7335">
              <w:rPr>
                <w:rStyle w:val="IntenseEmphasis"/>
                <w:i w:val="0"/>
                <w:iCs w:val="0"/>
                <w:color w:val="auto"/>
              </w:rPr>
              <w:t>Competency based medical education</w:t>
            </w:r>
          </w:p>
        </w:tc>
      </w:tr>
      <w:tr w:rsidR="004A7335" w:rsidRPr="004A7335" w14:paraId="4D7DDB21" w14:textId="77777777" w:rsidTr="00107EEC">
        <w:tc>
          <w:tcPr>
            <w:cnfStyle w:val="001000000000" w:firstRow="0" w:lastRow="0" w:firstColumn="1" w:lastColumn="0" w:oddVBand="0" w:evenVBand="0" w:oddHBand="0" w:evenHBand="0" w:firstRowFirstColumn="0" w:firstRowLastColumn="0" w:lastRowFirstColumn="0" w:lastRowLastColumn="0"/>
            <w:tcW w:w="2547" w:type="dxa"/>
          </w:tcPr>
          <w:p w14:paraId="0D6D788A" w14:textId="66EAE404" w:rsidR="004A7335" w:rsidRDefault="004A7335" w:rsidP="004A7335">
            <w:pPr>
              <w:spacing w:after="120" w:line="276" w:lineRule="auto"/>
              <w:rPr>
                <w:rStyle w:val="IntenseEmphasis"/>
                <w:i w:val="0"/>
                <w:iCs w:val="0"/>
                <w:color w:val="auto"/>
              </w:rPr>
            </w:pPr>
            <w:r>
              <w:rPr>
                <w:rStyle w:val="IntenseEmphasis"/>
                <w:i w:val="0"/>
                <w:iCs w:val="0"/>
                <w:color w:val="auto"/>
              </w:rPr>
              <w:t>EBD</w:t>
            </w:r>
          </w:p>
        </w:tc>
        <w:tc>
          <w:tcPr>
            <w:tcW w:w="7081" w:type="dxa"/>
          </w:tcPr>
          <w:p w14:paraId="3BB5EE25" w14:textId="11CE1514" w:rsidR="004A7335" w:rsidRPr="004A7335" w:rsidRDefault="004A7335" w:rsidP="004A7335">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4A7335">
              <w:rPr>
                <w:rStyle w:val="IntenseEmphasis"/>
                <w:i w:val="0"/>
                <w:iCs w:val="0"/>
                <w:color w:val="auto"/>
              </w:rPr>
              <w:t>Entrustment-based Discussion</w:t>
            </w:r>
          </w:p>
        </w:tc>
      </w:tr>
      <w:tr w:rsidR="008F0E3F" w:rsidRPr="004A7335" w14:paraId="5141BBB1" w14:textId="77777777" w:rsidTr="00107EEC">
        <w:tc>
          <w:tcPr>
            <w:cnfStyle w:val="001000000000" w:firstRow="0" w:lastRow="0" w:firstColumn="1" w:lastColumn="0" w:oddVBand="0" w:evenVBand="0" w:oddHBand="0" w:evenHBand="0" w:firstRowFirstColumn="0" w:firstRowLastColumn="0" w:lastRowFirstColumn="0" w:lastRowLastColumn="0"/>
            <w:tcW w:w="2547" w:type="dxa"/>
          </w:tcPr>
          <w:p w14:paraId="798C0DAF" w14:textId="17A95D74" w:rsidR="008F0E3F" w:rsidRPr="009D761F" w:rsidRDefault="008F0E3F" w:rsidP="008F0E3F">
            <w:pPr>
              <w:spacing w:after="120" w:line="276" w:lineRule="auto"/>
              <w:rPr>
                <w:rStyle w:val="IntenseEmphasis"/>
                <w:i w:val="0"/>
                <w:iCs w:val="0"/>
                <w:color w:val="auto"/>
              </w:rPr>
            </w:pPr>
            <w:r>
              <w:rPr>
                <w:rStyle w:val="IntenseEmphasis"/>
                <w:i w:val="0"/>
                <w:iCs w:val="0"/>
                <w:color w:val="auto"/>
              </w:rPr>
              <w:t>EPA</w:t>
            </w:r>
          </w:p>
        </w:tc>
        <w:tc>
          <w:tcPr>
            <w:tcW w:w="7081" w:type="dxa"/>
          </w:tcPr>
          <w:p w14:paraId="0CF5EAEA" w14:textId="1B9BC027" w:rsidR="008F0E3F" w:rsidRPr="004A7335" w:rsidRDefault="008F0E3F" w:rsidP="008F0E3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4A7335">
              <w:rPr>
                <w:rStyle w:val="IntenseEmphasis"/>
                <w:i w:val="0"/>
                <w:iCs w:val="0"/>
                <w:color w:val="auto"/>
              </w:rPr>
              <w:t>Entrustable Professional Activity</w:t>
            </w:r>
          </w:p>
        </w:tc>
      </w:tr>
      <w:tr w:rsidR="008F0E3F" w:rsidRPr="004A7335" w14:paraId="0A242C23" w14:textId="77777777" w:rsidTr="00107EEC">
        <w:tc>
          <w:tcPr>
            <w:cnfStyle w:val="001000000000" w:firstRow="0" w:lastRow="0" w:firstColumn="1" w:lastColumn="0" w:oddVBand="0" w:evenVBand="0" w:oddHBand="0" w:evenHBand="0" w:firstRowFirstColumn="0" w:firstRowLastColumn="0" w:lastRowFirstColumn="0" w:lastRowLastColumn="0"/>
            <w:tcW w:w="2547" w:type="dxa"/>
          </w:tcPr>
          <w:p w14:paraId="2EA6A9DC" w14:textId="4D329AB9" w:rsidR="008F0E3F" w:rsidRPr="009D761F" w:rsidRDefault="008F0E3F" w:rsidP="008F0E3F">
            <w:pPr>
              <w:spacing w:after="120" w:line="276" w:lineRule="auto"/>
              <w:rPr>
                <w:rStyle w:val="IntenseEmphasis"/>
                <w:i w:val="0"/>
                <w:iCs w:val="0"/>
                <w:color w:val="auto"/>
              </w:rPr>
            </w:pPr>
            <w:r>
              <w:rPr>
                <w:rStyle w:val="IntenseEmphasis"/>
                <w:i w:val="0"/>
                <w:iCs w:val="0"/>
                <w:color w:val="auto"/>
              </w:rPr>
              <w:t>WPA</w:t>
            </w:r>
          </w:p>
        </w:tc>
        <w:tc>
          <w:tcPr>
            <w:tcW w:w="7081" w:type="dxa"/>
          </w:tcPr>
          <w:p w14:paraId="4ACF34AA" w14:textId="0153CDED" w:rsidR="008F0E3F" w:rsidRPr="004A7335" w:rsidRDefault="008F0E3F" w:rsidP="008F0E3F">
            <w:pPr>
              <w:spacing w:after="120" w:line="276" w:lineRule="auto"/>
              <w:cnfStyle w:val="000000000000" w:firstRow="0" w:lastRow="0" w:firstColumn="0" w:lastColumn="0" w:oddVBand="0" w:evenVBand="0" w:oddHBand="0" w:evenHBand="0" w:firstRowFirstColumn="0" w:firstRowLastColumn="0" w:lastRowFirstColumn="0" w:lastRowLastColumn="0"/>
              <w:rPr>
                <w:rStyle w:val="IntenseEmphasis"/>
                <w:i w:val="0"/>
                <w:iCs w:val="0"/>
                <w:color w:val="auto"/>
              </w:rPr>
            </w:pPr>
            <w:r w:rsidRPr="004A7335">
              <w:rPr>
                <w:rStyle w:val="IntenseEmphasis"/>
                <w:i w:val="0"/>
                <w:iCs w:val="0"/>
                <w:color w:val="auto"/>
              </w:rPr>
              <w:t>Workplace-based assessment</w:t>
            </w:r>
          </w:p>
        </w:tc>
      </w:tr>
    </w:tbl>
    <w:p w14:paraId="60EA18CC" w14:textId="77777777" w:rsidR="00574A9B" w:rsidRDefault="00574A9B" w:rsidP="00574A9B">
      <w:pPr>
        <w:rPr>
          <w:rStyle w:val="IntenseEmphasis"/>
          <w:i w:val="0"/>
          <w:iCs w:val="0"/>
          <w:color w:val="auto"/>
        </w:rPr>
      </w:pPr>
      <w:r>
        <w:rPr>
          <w:rStyle w:val="IntenseEmphasis"/>
          <w:i w:val="0"/>
          <w:iCs w:val="0"/>
          <w:color w:val="auto"/>
        </w:rPr>
        <w:br w:type="page"/>
      </w:r>
    </w:p>
    <w:p w14:paraId="3679A104" w14:textId="5A0EFF87" w:rsidR="003A7E3B" w:rsidRPr="00574A9B" w:rsidRDefault="00EB1B21" w:rsidP="00574A9B">
      <w:pPr>
        <w:pStyle w:val="Title-ColouredBackground"/>
        <w:jc w:val="center"/>
        <w:rPr>
          <w:color w:val="636363" w:themeColor="text1"/>
        </w:rPr>
      </w:pPr>
      <w:r>
        <w:rPr>
          <w:color w:val="636363" w:themeColor="text1"/>
        </w:rPr>
        <w:lastRenderedPageBreak/>
        <w:t xml:space="preserve">Intern and preceptor guide to Entrustable Professional Activities (EPAs) </w:t>
      </w:r>
    </w:p>
    <w:p w14:paraId="1E665F0D" w14:textId="77777777" w:rsidR="003A7E3B" w:rsidRPr="003954D3" w:rsidRDefault="003A7E3B" w:rsidP="003A7E3B">
      <w:pPr>
        <w:pStyle w:val="Heading1"/>
        <w:rPr>
          <w:lang w:val="en-US"/>
        </w:rPr>
      </w:pPr>
      <w:bookmarkStart w:id="2" w:name="_Toc70607182"/>
      <w:r w:rsidRPr="003954D3">
        <w:rPr>
          <w:lang w:val="en-US"/>
        </w:rPr>
        <w:t>Definition and description</w:t>
      </w:r>
      <w:bookmarkEnd w:id="2"/>
    </w:p>
    <w:p w14:paraId="58592CF2" w14:textId="7F0D93D9" w:rsidR="003A7E3B" w:rsidRPr="003A7E3B" w:rsidRDefault="003A7E3B" w:rsidP="003A7E3B">
      <w:pPr>
        <w:rPr>
          <w:rFonts w:eastAsia="Times New Roman" w:cs="Arial"/>
          <w:szCs w:val="24"/>
          <w:lang w:eastAsia="en-AU"/>
        </w:rPr>
      </w:pPr>
      <w:r w:rsidRPr="003A7E3B">
        <w:rPr>
          <w:rFonts w:eastAsia="Times New Roman" w:cs="Arial"/>
          <w:szCs w:val="24"/>
          <w:lang w:eastAsia="en-AU"/>
        </w:rPr>
        <w:t>The term Entrustable Professional Activity, or EPA, was coined in 2005 and is defined as “a unit of professional practice (a task or group of tasks) that can be fully entrusted to a trainee, as soon as he or she has demonstrated the necessary competence to execute this activity unsupervised” (</w:t>
      </w:r>
      <w:r w:rsidRPr="003A7E3B">
        <w:rPr>
          <w:rFonts w:cs="Arial"/>
          <w:lang w:val="en-US"/>
        </w:rPr>
        <w:t xml:space="preserve">ten Cate, </w:t>
      </w:r>
      <w:proofErr w:type="spellStart"/>
      <w:r w:rsidRPr="003A7E3B">
        <w:rPr>
          <w:rFonts w:cs="Arial"/>
          <w:lang w:val="en-US"/>
        </w:rPr>
        <w:t>Carraccio</w:t>
      </w:r>
      <w:proofErr w:type="spellEnd"/>
      <w:r w:rsidRPr="003A7E3B">
        <w:rPr>
          <w:rFonts w:cs="Arial"/>
          <w:lang w:val="en-US"/>
        </w:rPr>
        <w:t>, Damodaran et al, 2021,</w:t>
      </w:r>
      <w:r w:rsidRPr="003A7E3B">
        <w:rPr>
          <w:rFonts w:eastAsia="Times New Roman" w:cs="Arial"/>
          <w:szCs w:val="24"/>
          <w:lang w:eastAsia="en-AU"/>
        </w:rPr>
        <w:t xml:space="preserve"> p. 200). EPAs were introduced as a means of operationalising competency based medical education (CBME) by evaluating the progressive increase in responsibility and autonomy of a learner or trainee in carrying out the activity, which then leads to a decrease in the level of supervision required for safe and successful performance of that activity. The implementation of EPAs in workplace-based assessment (W</w:t>
      </w:r>
      <w:r w:rsidR="00B4572E">
        <w:rPr>
          <w:rFonts w:eastAsia="Times New Roman" w:cs="Arial"/>
          <w:szCs w:val="24"/>
          <w:lang w:eastAsia="en-AU"/>
        </w:rPr>
        <w:t>P</w:t>
      </w:r>
      <w:r w:rsidRPr="003A7E3B">
        <w:rPr>
          <w:rFonts w:eastAsia="Times New Roman" w:cs="Arial"/>
          <w:szCs w:val="24"/>
          <w:lang w:eastAsia="en-AU"/>
        </w:rPr>
        <w:t>A) results in a movement away from assessment of individual decontextualised competencies to a more holistic approach which awards a particular level of trust to perform an activity requiring the coordinated use of multiple competencies.</w:t>
      </w:r>
    </w:p>
    <w:p w14:paraId="4D0E3B73" w14:textId="6455CBFF" w:rsidR="003A7E3B" w:rsidRPr="003A7E3B" w:rsidRDefault="003A7E3B" w:rsidP="003A7E3B">
      <w:pPr>
        <w:rPr>
          <w:rFonts w:eastAsia="Times New Roman" w:cs="Arial"/>
          <w:szCs w:val="24"/>
          <w:lang w:eastAsia="en-AU"/>
        </w:rPr>
      </w:pPr>
      <w:r w:rsidRPr="003A7E3B">
        <w:rPr>
          <w:rFonts w:eastAsia="Times New Roman" w:cs="Arial"/>
          <w:szCs w:val="24"/>
          <w:lang w:eastAsia="en-AU"/>
        </w:rPr>
        <w:t>ten Cate</w:t>
      </w:r>
      <w:r w:rsidRPr="003A7E3B">
        <w:rPr>
          <w:rFonts w:cs="Arial"/>
          <w:lang w:val="en-US"/>
        </w:rPr>
        <w:t xml:space="preserve">, Chen, Hoff </w:t>
      </w:r>
      <w:r w:rsidRPr="003A7E3B">
        <w:rPr>
          <w:rFonts w:eastAsia="Times New Roman" w:cs="Arial"/>
          <w:lang w:eastAsia="en-AU"/>
        </w:rPr>
        <w:t>et al</w:t>
      </w:r>
      <w:r w:rsidRPr="003A7E3B">
        <w:rPr>
          <w:rFonts w:eastAsia="Times New Roman" w:cs="Arial"/>
          <w:szCs w:val="24"/>
          <w:lang w:eastAsia="en-AU"/>
        </w:rPr>
        <w:t xml:space="preserve"> (2015) outline the defining characteristics of EPAs as being “executable within a given time, observable, measurable, confined to qualified personnel and suitable for focused entrustment decisions” (p. 985)</w:t>
      </w:r>
      <w:r w:rsidR="00A518B6">
        <w:rPr>
          <w:rFonts w:eastAsia="Times New Roman" w:cs="Arial"/>
          <w:szCs w:val="24"/>
          <w:lang w:eastAsia="en-AU"/>
        </w:rPr>
        <w:t>.</w:t>
      </w:r>
    </w:p>
    <w:p w14:paraId="73FF66A7" w14:textId="77777777" w:rsidR="003A7E3B" w:rsidRPr="003A7E3B" w:rsidRDefault="003A7E3B" w:rsidP="003A7E3B">
      <w:pPr>
        <w:rPr>
          <w:rFonts w:eastAsia="Times New Roman" w:cs="Arial"/>
          <w:szCs w:val="24"/>
          <w:lang w:eastAsia="en-AU"/>
        </w:rPr>
      </w:pPr>
      <w:r w:rsidRPr="003A7E3B">
        <w:rPr>
          <w:rFonts w:eastAsia="Times New Roman" w:cs="Arial"/>
          <w:szCs w:val="24"/>
          <w:lang w:eastAsia="en-AU"/>
        </w:rPr>
        <w:t xml:space="preserve">As units of professional practice, EPAs are primarily structured descriptions of </w:t>
      </w:r>
      <w:proofErr w:type="gramStart"/>
      <w:r w:rsidRPr="003A7E3B">
        <w:rPr>
          <w:rFonts w:eastAsia="Times New Roman" w:cs="Arial"/>
          <w:szCs w:val="24"/>
          <w:lang w:eastAsia="en-AU"/>
        </w:rPr>
        <w:t>particular tasks</w:t>
      </w:r>
      <w:proofErr w:type="gramEnd"/>
      <w:r w:rsidRPr="003A7E3B">
        <w:rPr>
          <w:rFonts w:eastAsia="Times New Roman" w:cs="Arial"/>
          <w:szCs w:val="24"/>
          <w:lang w:eastAsia="en-AU"/>
        </w:rPr>
        <w:t xml:space="preserve"> or activities undertaken in the workplace. In themselves, they do not describe an intern, nor do they indicate the level of proficiency with which they are completed by an intern. Within the workplace, an assessment is made about the intern’s capacity to perform the EPAs safely and appropriately under different levels of supervision, ranging from being permitted only to observe the task being carried out through to providing supervision to more junior colleagues. </w:t>
      </w:r>
    </w:p>
    <w:p w14:paraId="56DA563A" w14:textId="263401D5" w:rsidR="003A7E3B" w:rsidRPr="003A7E3B" w:rsidRDefault="003A7E3B" w:rsidP="003A7E3B">
      <w:pPr>
        <w:rPr>
          <w:rFonts w:eastAsia="Times New Roman" w:cs="Arial"/>
          <w:szCs w:val="24"/>
          <w:lang w:eastAsia="en-AU"/>
        </w:rPr>
      </w:pPr>
      <w:r w:rsidRPr="003A7E3B">
        <w:rPr>
          <w:rFonts w:eastAsia="Times New Roman" w:cs="Arial"/>
          <w:szCs w:val="24"/>
          <w:lang w:eastAsia="en-AU"/>
        </w:rPr>
        <w:t xml:space="preserve">EPAs are not replacements for </w:t>
      </w:r>
      <w:proofErr w:type="gramStart"/>
      <w:r w:rsidRPr="003A7E3B">
        <w:rPr>
          <w:rFonts w:eastAsia="Times New Roman" w:cs="Arial"/>
          <w:szCs w:val="24"/>
          <w:lang w:eastAsia="en-AU"/>
        </w:rPr>
        <w:t>competencies, but</w:t>
      </w:r>
      <w:proofErr w:type="gramEnd"/>
      <w:r w:rsidRPr="003A7E3B">
        <w:rPr>
          <w:rFonts w:eastAsia="Times New Roman" w:cs="Arial"/>
          <w:szCs w:val="24"/>
          <w:lang w:eastAsia="en-AU"/>
        </w:rPr>
        <w:t xml:space="preserve"> can be mapped against competencies in a manner similar to the mapping of the enabling competencies of the </w:t>
      </w:r>
      <w:r w:rsidRPr="00B4572E">
        <w:rPr>
          <w:rFonts w:eastAsia="Times New Roman" w:cs="Arial"/>
          <w:iCs/>
          <w:szCs w:val="24"/>
          <w:lang w:eastAsia="en-AU"/>
        </w:rPr>
        <w:t>National Competency Standards Framework for Pharmacists in Australia</w:t>
      </w:r>
      <w:r w:rsidR="001A1AF7">
        <w:rPr>
          <w:rFonts w:eastAsia="Times New Roman" w:cs="Arial"/>
          <w:iCs/>
          <w:szCs w:val="24"/>
          <w:lang w:eastAsia="en-AU"/>
        </w:rPr>
        <w:t>,</w:t>
      </w:r>
      <w:r w:rsidRPr="00B4572E">
        <w:rPr>
          <w:rFonts w:eastAsia="Times New Roman" w:cs="Arial"/>
          <w:iCs/>
          <w:szCs w:val="24"/>
          <w:lang w:eastAsia="en-AU"/>
        </w:rPr>
        <w:t xml:space="preserve"> to the Performance Outcomes Framework published</w:t>
      </w:r>
      <w:r w:rsidRPr="003A7E3B">
        <w:rPr>
          <w:rFonts w:eastAsia="Times New Roman" w:cs="Arial"/>
          <w:szCs w:val="24"/>
          <w:lang w:eastAsia="en-AU"/>
        </w:rPr>
        <w:t xml:space="preserve"> by the Australian Pharmacy Council </w:t>
      </w:r>
      <w:r w:rsidR="00B4572E">
        <w:rPr>
          <w:rFonts w:eastAsia="Times New Roman" w:cs="Arial"/>
          <w:szCs w:val="24"/>
          <w:lang w:eastAsia="en-AU"/>
        </w:rPr>
        <w:t xml:space="preserve">(APC) </w:t>
      </w:r>
      <w:r w:rsidRPr="003A7E3B">
        <w:rPr>
          <w:rFonts w:eastAsia="Times New Roman" w:cs="Arial"/>
          <w:szCs w:val="24"/>
          <w:lang w:eastAsia="en-AU"/>
        </w:rPr>
        <w:t>as part of its 2020 accreditation documentation.</w:t>
      </w:r>
    </w:p>
    <w:p w14:paraId="316D4430" w14:textId="6F708EE1" w:rsidR="003A7E3B" w:rsidRPr="003A7E3B" w:rsidRDefault="003A7E3B" w:rsidP="003A7E3B">
      <w:pPr>
        <w:rPr>
          <w:rFonts w:eastAsia="Times New Roman" w:cs="Arial"/>
          <w:szCs w:val="24"/>
          <w:lang w:eastAsia="en-AU"/>
        </w:rPr>
      </w:pPr>
      <w:r w:rsidRPr="003A7E3B">
        <w:rPr>
          <w:rFonts w:eastAsia="Times New Roman" w:cs="Arial"/>
          <w:szCs w:val="24"/>
          <w:lang w:eastAsia="en-AU"/>
        </w:rPr>
        <w:t xml:space="preserve">The use of EPAs can be considered as a mastery learning approach (ten Cate et al, 2015) because an individual must perform all aspects of the EPA </w:t>
      </w:r>
      <w:proofErr w:type="gramStart"/>
      <w:r w:rsidRPr="003A7E3B">
        <w:rPr>
          <w:rFonts w:eastAsia="Times New Roman" w:cs="Arial"/>
          <w:szCs w:val="24"/>
          <w:lang w:eastAsia="en-AU"/>
        </w:rPr>
        <w:t>in order to</w:t>
      </w:r>
      <w:proofErr w:type="gramEnd"/>
      <w:r w:rsidRPr="003A7E3B">
        <w:rPr>
          <w:rFonts w:eastAsia="Times New Roman" w:cs="Arial"/>
          <w:szCs w:val="24"/>
          <w:lang w:eastAsia="en-AU"/>
        </w:rPr>
        <w:t xml:space="preserve"> progress to the next level of </w:t>
      </w:r>
      <w:r w:rsidR="00D126E6" w:rsidRPr="003A7E3B">
        <w:rPr>
          <w:rFonts w:eastAsia="Times New Roman" w:cs="Arial"/>
          <w:szCs w:val="24"/>
          <w:lang w:eastAsia="en-AU"/>
        </w:rPr>
        <w:t>supervision or</w:t>
      </w:r>
      <w:r w:rsidRPr="003A7E3B">
        <w:rPr>
          <w:rFonts w:eastAsia="Times New Roman" w:cs="Arial"/>
          <w:szCs w:val="24"/>
          <w:lang w:eastAsia="en-AU"/>
        </w:rPr>
        <w:t xml:space="preserve"> achieve endorsement to practice unsupervised. EPAs are well aligned with principles of safe and socially accountable professional practice, the first </w:t>
      </w:r>
      <w:r w:rsidR="00B4572E">
        <w:rPr>
          <w:rFonts w:eastAsia="Times New Roman" w:cs="Arial"/>
          <w:szCs w:val="24"/>
          <w:lang w:eastAsia="en-AU"/>
        </w:rPr>
        <w:t>d</w:t>
      </w:r>
      <w:r w:rsidRPr="003A7E3B">
        <w:rPr>
          <w:rFonts w:eastAsia="Times New Roman" w:cs="Arial"/>
          <w:szCs w:val="24"/>
          <w:lang w:eastAsia="en-AU"/>
        </w:rPr>
        <w:t xml:space="preserve">omain of the </w:t>
      </w:r>
      <w:r w:rsidRPr="00C5745E">
        <w:rPr>
          <w:rFonts w:eastAsia="Times New Roman" w:cs="Arial"/>
          <w:i/>
          <w:szCs w:val="24"/>
          <w:lang w:eastAsia="en-AU"/>
        </w:rPr>
        <w:t>Accreditation Standards for Pharmacy Programs in Australia and New Zealand</w:t>
      </w:r>
      <w:r w:rsidR="00B4572E" w:rsidRPr="00C5745E">
        <w:rPr>
          <w:rFonts w:eastAsia="Times New Roman" w:cs="Arial"/>
          <w:i/>
          <w:szCs w:val="24"/>
          <w:lang w:eastAsia="en-AU"/>
        </w:rPr>
        <w:t xml:space="preserve"> 2020</w:t>
      </w:r>
      <w:r w:rsidRPr="00B4572E">
        <w:rPr>
          <w:rFonts w:eastAsia="Times New Roman" w:cs="Arial"/>
          <w:iCs/>
          <w:szCs w:val="24"/>
          <w:lang w:eastAsia="en-AU"/>
        </w:rPr>
        <w:t>.</w:t>
      </w:r>
      <w:r w:rsidRPr="003A7E3B">
        <w:rPr>
          <w:rFonts w:eastAsia="Times New Roman" w:cs="Arial"/>
          <w:szCs w:val="24"/>
          <w:lang w:eastAsia="en-AU"/>
        </w:rPr>
        <w:t xml:space="preserve"> Further, the concept of entrustment is consistent with the future-focused nature of the </w:t>
      </w:r>
      <w:r w:rsidRPr="00B4572E">
        <w:rPr>
          <w:rFonts w:eastAsia="Times New Roman" w:cs="Arial"/>
          <w:iCs/>
          <w:szCs w:val="24"/>
          <w:lang w:eastAsia="en-AU"/>
        </w:rPr>
        <w:t>Accreditation Standards and Performance Outcomes Framework</w:t>
      </w:r>
      <w:r w:rsidRPr="003A7E3B">
        <w:rPr>
          <w:rFonts w:eastAsia="Times New Roman" w:cs="Arial"/>
          <w:szCs w:val="24"/>
          <w:lang w:eastAsia="en-AU"/>
        </w:rPr>
        <w:t>, which are intended to ensure pharmacists are equipped with “the skills and flexibility to adapt to new scopes of practice as they emerge.”</w:t>
      </w:r>
      <w:r w:rsidRPr="003A7E3B">
        <w:rPr>
          <w:rStyle w:val="FootnoteReference"/>
          <w:rFonts w:eastAsia="Times New Roman" w:cs="Arial"/>
          <w:lang w:eastAsia="en-AU"/>
        </w:rPr>
        <w:footnoteReference w:id="2"/>
      </w:r>
      <w:r w:rsidRPr="003A7E3B">
        <w:rPr>
          <w:rFonts w:eastAsia="Times New Roman" w:cs="Arial"/>
          <w:szCs w:val="24"/>
          <w:lang w:eastAsia="en-AU"/>
        </w:rPr>
        <w:t xml:space="preserve"> (p. 6)</w:t>
      </w:r>
    </w:p>
    <w:p w14:paraId="4A9B1812" w14:textId="77777777" w:rsidR="004D2F76" w:rsidRDefault="004D2F76">
      <w:pPr>
        <w:rPr>
          <w:rFonts w:ascii="Helvetica LT Std Light" w:eastAsia="Times New Roman" w:hAnsi="Helvetica LT Std Light" w:cstheme="majorBidi"/>
          <w:color w:val="636363" w:themeColor="text1"/>
          <w:sz w:val="32"/>
          <w:szCs w:val="32"/>
          <w:lang w:eastAsia="en-AU"/>
        </w:rPr>
      </w:pPr>
      <w:r>
        <w:rPr>
          <w:rFonts w:eastAsia="Times New Roman"/>
          <w:lang w:eastAsia="en-AU"/>
        </w:rPr>
        <w:br w:type="page"/>
      </w:r>
    </w:p>
    <w:p w14:paraId="2050805B" w14:textId="74B12310" w:rsidR="003A7E3B" w:rsidRPr="00B22829" w:rsidRDefault="003A7E3B" w:rsidP="003A7E3B">
      <w:pPr>
        <w:pStyle w:val="Heading1"/>
        <w:rPr>
          <w:rFonts w:eastAsia="Times New Roman"/>
          <w:lang w:eastAsia="en-AU"/>
        </w:rPr>
      </w:pPr>
      <w:bookmarkStart w:id="3" w:name="_Toc70607183"/>
      <w:r w:rsidRPr="00B22829">
        <w:rPr>
          <w:rFonts w:eastAsia="Times New Roman"/>
          <w:lang w:eastAsia="en-AU"/>
        </w:rPr>
        <w:lastRenderedPageBreak/>
        <w:t>Entrustment as prospective assessment</w:t>
      </w:r>
      <w:bookmarkEnd w:id="3"/>
    </w:p>
    <w:p w14:paraId="4B58EB4A" w14:textId="1D25CCB5" w:rsidR="003A7E3B" w:rsidRPr="003A7E3B" w:rsidRDefault="003A7E3B" w:rsidP="003A7E3B">
      <w:pPr>
        <w:rPr>
          <w:rFonts w:eastAsia="Times New Roman" w:cs="Arial"/>
          <w:lang w:eastAsia="en-AU"/>
        </w:rPr>
      </w:pPr>
      <w:r w:rsidRPr="003A7E3B">
        <w:rPr>
          <w:rFonts w:eastAsia="Times New Roman" w:cs="Arial"/>
          <w:b/>
          <w:lang w:eastAsia="en-AU"/>
        </w:rPr>
        <w:t>Entrustment</w:t>
      </w:r>
      <w:r w:rsidRPr="003A7E3B">
        <w:rPr>
          <w:rFonts w:eastAsia="Times New Roman" w:cs="Arial"/>
          <w:lang w:eastAsia="en-AU"/>
        </w:rPr>
        <w:t xml:space="preserve"> is a central concept for the assessment of a trainee’s readiness to practise. As highlighted by ten Cate</w:t>
      </w:r>
      <w:r w:rsidRPr="003A7E3B">
        <w:rPr>
          <w:rFonts w:cs="Arial"/>
          <w:lang w:val="en-US"/>
        </w:rPr>
        <w:t xml:space="preserve"> </w:t>
      </w:r>
      <w:r w:rsidRPr="003A7E3B">
        <w:rPr>
          <w:rFonts w:eastAsia="Times New Roman" w:cs="Arial"/>
          <w:lang w:eastAsia="en-AU"/>
        </w:rPr>
        <w:t>et al (2015), “Trust relates to the acceptance that the trustee is permitted to act in circumstances where risks are present but can be managed” (p. 991)</w:t>
      </w:r>
      <w:r w:rsidR="00A518B6">
        <w:rPr>
          <w:rFonts w:eastAsia="Times New Roman" w:cs="Arial"/>
          <w:lang w:eastAsia="en-AU"/>
        </w:rPr>
        <w:t>.</w:t>
      </w:r>
      <w:r w:rsidRPr="003A7E3B">
        <w:rPr>
          <w:rFonts w:eastAsia="Times New Roman" w:cs="Arial"/>
          <w:lang w:eastAsia="en-AU"/>
        </w:rPr>
        <w:t xml:space="preserve"> It is not possible for an intern to be assessed on all possible dimensions of professional practice within the supervised practice period, and in coming to a decision that an intern is ready for unsupervised practice, extrapolations must be made about likely performance beyond what has previously been observed and assessed. </w:t>
      </w:r>
    </w:p>
    <w:p w14:paraId="245FB728" w14:textId="77777777" w:rsidR="003A7E3B" w:rsidRPr="003A7E3B" w:rsidRDefault="003A7E3B" w:rsidP="003A7E3B">
      <w:pPr>
        <w:rPr>
          <w:rFonts w:eastAsia="Times New Roman" w:cs="Arial"/>
          <w:lang w:eastAsia="en-AU"/>
        </w:rPr>
      </w:pPr>
      <w:r w:rsidRPr="003A7E3B">
        <w:rPr>
          <w:rFonts w:eastAsia="Times New Roman" w:cs="Arial"/>
          <w:lang w:eastAsia="en-AU"/>
        </w:rPr>
        <w:t xml:space="preserve">These extrapolations are already made implicitly when a preceptor certifies that an intern is ready for general registration. The formal process of entrustment makes these extrapolations more overt and explicit, and the use of EPAs provides a framework for making a more well-rounded, </w:t>
      </w:r>
      <w:proofErr w:type="gramStart"/>
      <w:r w:rsidRPr="003A7E3B">
        <w:rPr>
          <w:rFonts w:eastAsia="Times New Roman" w:cs="Arial"/>
          <w:lang w:eastAsia="en-AU"/>
        </w:rPr>
        <w:t>justifiable</w:t>
      </w:r>
      <w:proofErr w:type="gramEnd"/>
      <w:r w:rsidRPr="003A7E3B">
        <w:rPr>
          <w:rFonts w:eastAsia="Times New Roman" w:cs="Arial"/>
          <w:lang w:eastAsia="en-AU"/>
        </w:rPr>
        <w:t xml:space="preserve"> and evidence-based decision. Importantly, the framework provides a basis for identifying when an intern is </w:t>
      </w:r>
      <w:r w:rsidRPr="003A7E3B">
        <w:rPr>
          <w:rFonts w:eastAsia="Times New Roman" w:cs="Arial"/>
          <w:b/>
          <w:lang w:eastAsia="en-AU"/>
        </w:rPr>
        <w:t>NOT</w:t>
      </w:r>
      <w:r w:rsidRPr="003A7E3B">
        <w:rPr>
          <w:rFonts w:eastAsia="Times New Roman" w:cs="Arial"/>
          <w:lang w:eastAsia="en-AU"/>
        </w:rPr>
        <w:t xml:space="preserve"> ready to perform with reduced supervision or oversight; this type of decision is critical for maintaining safe and socially accountable practice.</w:t>
      </w:r>
    </w:p>
    <w:p w14:paraId="7BD59CC1" w14:textId="77777777" w:rsidR="003A7E3B" w:rsidRPr="003A7E3B" w:rsidRDefault="003A7E3B" w:rsidP="003A7E3B">
      <w:pPr>
        <w:rPr>
          <w:rFonts w:eastAsia="Times New Roman" w:cs="Arial"/>
          <w:lang w:eastAsia="en-AU"/>
        </w:rPr>
      </w:pPr>
      <w:r w:rsidRPr="003A7E3B">
        <w:rPr>
          <w:rFonts w:eastAsia="Times New Roman" w:cs="Arial"/>
          <w:lang w:eastAsia="en-AU"/>
        </w:rPr>
        <w:t xml:space="preserve">Entrustment, therefore, represents a means of prospective assessment, while traditional assessments of competency and past performance are more retrospective. </w:t>
      </w:r>
    </w:p>
    <w:p w14:paraId="0470367D" w14:textId="1673A575" w:rsidR="003A7E3B" w:rsidRPr="003A7E3B" w:rsidRDefault="003A7E3B" w:rsidP="003A7E3B">
      <w:pPr>
        <w:rPr>
          <w:rFonts w:eastAsia="Times New Roman" w:cs="Arial"/>
          <w:lang w:eastAsia="en-AU"/>
        </w:rPr>
      </w:pPr>
      <w:r w:rsidRPr="003A7E3B">
        <w:rPr>
          <w:rFonts w:eastAsia="Times New Roman" w:cs="Arial"/>
          <w:lang w:eastAsia="en-AU"/>
        </w:rPr>
        <w:t xml:space="preserve">It should be noted that traditional assessment tasks or processes can be used to support entrustment decisions, and that a wholesale revision of assessments is not generally necessary if an entrustment-based approach is adopted. What will be different are the questions that the assessor asks when deciding on the outcome of the assessment. In essence, a </w:t>
      </w:r>
      <w:r w:rsidRPr="003A7E3B">
        <w:rPr>
          <w:rFonts w:eastAsia="Times New Roman" w:cs="Arial"/>
          <w:b/>
          <w:lang w:eastAsia="en-AU"/>
        </w:rPr>
        <w:t>retrospective assessment</w:t>
      </w:r>
      <w:r w:rsidRPr="003A7E3B">
        <w:rPr>
          <w:rFonts w:eastAsia="Times New Roman" w:cs="Arial"/>
          <w:lang w:eastAsia="en-AU"/>
        </w:rPr>
        <w:t xml:space="preserve"> focuses on asking how well the intern performed in the task as observed, while </w:t>
      </w:r>
      <w:r w:rsidRPr="003A7E3B">
        <w:rPr>
          <w:rFonts w:eastAsia="Times New Roman" w:cs="Arial"/>
          <w:b/>
          <w:lang w:eastAsia="en-AU"/>
        </w:rPr>
        <w:t>prospective assessment</w:t>
      </w:r>
      <w:r w:rsidRPr="003A7E3B">
        <w:rPr>
          <w:rFonts w:eastAsia="Times New Roman" w:cs="Arial"/>
          <w:lang w:eastAsia="en-AU"/>
        </w:rPr>
        <w:t xml:space="preserve"> asks how their observed performance will inform or relate to future performance in different contexts and with different variables. ten Cate et al (2021) describe the difference as “While a traditional assessment reflects how a trainee has performed when observed, an entrustment decision looks into the future and represents a calculated risk, anticipating that the trainee will do well when there is no supervision. It combines evaluation with an estimation of risk” (p. 994).</w:t>
      </w:r>
    </w:p>
    <w:p w14:paraId="3D595879" w14:textId="66A8C1DC" w:rsidR="003A7E3B" w:rsidRPr="003A7E3B" w:rsidRDefault="003A7E3B" w:rsidP="003A7E3B">
      <w:pPr>
        <w:rPr>
          <w:rFonts w:eastAsia="Times New Roman" w:cs="Arial"/>
          <w:lang w:eastAsia="en-AU"/>
        </w:rPr>
      </w:pPr>
      <w:r w:rsidRPr="003A7E3B">
        <w:rPr>
          <w:rFonts w:eastAsia="Times New Roman" w:cs="Arial"/>
          <w:lang w:eastAsia="en-AU"/>
        </w:rPr>
        <w:t xml:space="preserve">Entrustment decisions thus imply a degree of subjectivity on the part of the assessor; this is deliberate and critical for future safe practice. At each point of assessment, assessors will need to make a point-in-time judgement about how much supervision is needed to mitigate any perceived risks to an acceptable level, noting that some residual risk is inevitable. In an individual scenario, they may judge that an intervention is necessary </w:t>
      </w:r>
      <w:proofErr w:type="gramStart"/>
      <w:r w:rsidRPr="003A7E3B">
        <w:rPr>
          <w:rFonts w:eastAsia="Times New Roman" w:cs="Arial"/>
          <w:lang w:eastAsia="en-AU"/>
        </w:rPr>
        <w:t>in order to</w:t>
      </w:r>
      <w:proofErr w:type="gramEnd"/>
      <w:r w:rsidRPr="003A7E3B">
        <w:rPr>
          <w:rFonts w:eastAsia="Times New Roman" w:cs="Arial"/>
          <w:lang w:eastAsia="en-AU"/>
        </w:rPr>
        <w:t xml:space="preserve"> ensure patient safety; alternatively, they may choose to observe from a distance if the intern is performing well. Clearly, these judgements and actions are already being made many times a day in the workplace, thus in some respects the concept of entrustment is not unique to EPAs. Within the EPA framework, these point-in-time judgements are known as </w:t>
      </w:r>
      <w:r w:rsidRPr="003A7E3B">
        <w:rPr>
          <w:rFonts w:eastAsia="Times New Roman" w:cs="Arial"/>
          <w:b/>
          <w:lang w:eastAsia="en-AU"/>
        </w:rPr>
        <w:t>ad hoc entrustment decisions</w:t>
      </w:r>
      <w:r w:rsidRPr="003A7E3B">
        <w:rPr>
          <w:rFonts w:eastAsia="Times New Roman" w:cs="Arial"/>
          <w:lang w:eastAsia="en-AU"/>
        </w:rPr>
        <w:t xml:space="preserve">. </w:t>
      </w:r>
    </w:p>
    <w:p w14:paraId="593F7A19" w14:textId="77777777" w:rsidR="003A7E3B" w:rsidRPr="003A7E3B" w:rsidRDefault="003A7E3B" w:rsidP="003A7E3B">
      <w:pPr>
        <w:rPr>
          <w:rFonts w:eastAsia="Times New Roman" w:cs="Arial"/>
          <w:lang w:eastAsia="en-AU"/>
        </w:rPr>
      </w:pPr>
      <w:r w:rsidRPr="003A7E3B">
        <w:rPr>
          <w:rFonts w:eastAsia="Times New Roman" w:cs="Arial"/>
          <w:lang w:eastAsia="en-AU"/>
        </w:rPr>
        <w:t xml:space="preserve">Explicitly adopting an EPA-based framework allows these ad hoc entrustment decisions to be integrated and incorporated into a system for making </w:t>
      </w:r>
      <w:r w:rsidRPr="003A7E3B">
        <w:rPr>
          <w:rFonts w:eastAsia="Times New Roman" w:cs="Arial"/>
          <w:b/>
          <w:lang w:eastAsia="en-AU"/>
        </w:rPr>
        <w:t>summative entrustment decisions</w:t>
      </w:r>
      <w:r w:rsidRPr="003A7E3B">
        <w:rPr>
          <w:rFonts w:eastAsia="Times New Roman" w:cs="Arial"/>
          <w:lang w:eastAsia="en-AU"/>
        </w:rPr>
        <w:t>. Summative entrustment decisions are made for the purpose of formally acknowledging that an intern is ready to practice the EPA under reduced supervision.</w:t>
      </w:r>
    </w:p>
    <w:p w14:paraId="5D70C8BD" w14:textId="77777777" w:rsidR="003A7E3B" w:rsidRPr="008A7AC5" w:rsidRDefault="003A7E3B" w:rsidP="003A7E3B">
      <w:pPr>
        <w:pStyle w:val="Heading1"/>
        <w:rPr>
          <w:rFonts w:eastAsia="Times New Roman"/>
          <w:lang w:eastAsia="en-AU"/>
        </w:rPr>
      </w:pPr>
      <w:bookmarkStart w:id="4" w:name="_Hlk69652420"/>
      <w:bookmarkStart w:id="5" w:name="_Toc70607184"/>
      <w:bookmarkStart w:id="6" w:name="_Hlk69652449"/>
      <w:r w:rsidRPr="008A7AC5">
        <w:rPr>
          <w:rFonts w:eastAsia="Times New Roman"/>
          <w:lang w:eastAsia="en-AU"/>
        </w:rPr>
        <w:t>Evidence</w:t>
      </w:r>
      <w:bookmarkEnd w:id="4"/>
      <w:r w:rsidRPr="008A7AC5">
        <w:rPr>
          <w:rFonts w:eastAsia="Times New Roman"/>
          <w:lang w:eastAsia="en-AU"/>
        </w:rPr>
        <w:t xml:space="preserve"> for summative entrustment decisions</w:t>
      </w:r>
      <w:bookmarkEnd w:id="5"/>
    </w:p>
    <w:bookmarkEnd w:id="6"/>
    <w:p w14:paraId="4AD1F2EB" w14:textId="24A2CD6B" w:rsidR="003A7E3B" w:rsidRPr="003A7E3B" w:rsidRDefault="003A7E3B" w:rsidP="003A7E3B">
      <w:pPr>
        <w:rPr>
          <w:rFonts w:eastAsia="Times New Roman" w:cs="Arial"/>
          <w:lang w:eastAsia="en-AU"/>
        </w:rPr>
      </w:pPr>
      <w:proofErr w:type="gramStart"/>
      <w:r w:rsidRPr="003A7E3B">
        <w:rPr>
          <w:rFonts w:eastAsia="Times New Roman" w:cs="Arial"/>
          <w:lang w:eastAsia="en-AU"/>
        </w:rPr>
        <w:t>In order to</w:t>
      </w:r>
      <w:proofErr w:type="gramEnd"/>
      <w:r w:rsidRPr="003A7E3B">
        <w:rPr>
          <w:rFonts w:eastAsia="Times New Roman" w:cs="Arial"/>
          <w:lang w:eastAsia="en-AU"/>
        </w:rPr>
        <w:t xml:space="preserve"> make a summative entrustment decision, sufficient evidence must be gathered and reviewed to justify an evaluation that the risks associated with the intern performing at the new supervision level are acceptable and manageable. Interns must be able to demonstrate not only that they have the capacity to perform under their current supervision level, but also that they have the </w:t>
      </w:r>
      <w:r w:rsidRPr="003A7E3B">
        <w:rPr>
          <w:rFonts w:eastAsia="Times New Roman" w:cs="Arial"/>
          <w:b/>
          <w:lang w:eastAsia="en-AU"/>
        </w:rPr>
        <w:t>adaptive expertise</w:t>
      </w:r>
      <w:r w:rsidRPr="003A7E3B">
        <w:rPr>
          <w:rFonts w:eastAsia="Times New Roman" w:cs="Arial"/>
          <w:lang w:eastAsia="en-AU"/>
        </w:rPr>
        <w:t xml:space="preserve"> (ten Cate et al, 2021) to perform in situations where they have not previously been observed. ten Cate et al (2021) rightly point out that “it is impossible to control for all possible situations in which the entrusted learner will act, and it </w:t>
      </w:r>
      <w:r w:rsidRPr="003A7E3B">
        <w:rPr>
          <w:rFonts w:eastAsia="Times New Roman" w:cs="Arial"/>
          <w:lang w:eastAsia="en-AU"/>
        </w:rPr>
        <w:lastRenderedPageBreak/>
        <w:t>is deceptive to suggest that prior observations have covered every possible context for the enactment of the EPA” (p. 201)</w:t>
      </w:r>
      <w:r w:rsidR="00327432">
        <w:rPr>
          <w:rFonts w:eastAsia="Times New Roman" w:cs="Arial"/>
          <w:lang w:eastAsia="en-AU"/>
        </w:rPr>
        <w:t>.</w:t>
      </w:r>
    </w:p>
    <w:p w14:paraId="6DA2D4FB" w14:textId="77777777" w:rsidR="003A7E3B" w:rsidRPr="003A7E3B" w:rsidRDefault="003A7E3B" w:rsidP="003A7E3B">
      <w:pPr>
        <w:rPr>
          <w:rFonts w:eastAsia="Times New Roman" w:cs="Arial"/>
          <w:lang w:eastAsia="en-AU"/>
        </w:rPr>
      </w:pPr>
      <w:r w:rsidRPr="003A7E3B">
        <w:rPr>
          <w:rFonts w:eastAsia="Times New Roman" w:cs="Arial"/>
          <w:lang w:eastAsia="en-AU"/>
        </w:rPr>
        <w:t xml:space="preserve">Adaptive expertise encompasses aspects such as interns’ insight into their own limits and willingness to ask for assistance when necessary, ability to adapt to new situations and contexts, assess and manage unforeseen risks, and use prior experiences to respond to new clinical issues. Based on a review of published research, ten Cate &amp; Chen (2020) propose a model for entrustment decision-making using the acronym </w:t>
      </w:r>
      <w:r w:rsidRPr="003A7E3B">
        <w:rPr>
          <w:rFonts w:eastAsia="Times New Roman" w:cs="Arial"/>
          <w:b/>
          <w:lang w:eastAsia="en-AU"/>
        </w:rPr>
        <w:t>A RICH</w:t>
      </w:r>
      <w:r w:rsidRPr="003A7E3B">
        <w:rPr>
          <w:rFonts w:eastAsia="Times New Roman" w:cs="Arial"/>
          <w:lang w:eastAsia="en-AU"/>
        </w:rPr>
        <w:t>.</w:t>
      </w:r>
    </w:p>
    <w:p w14:paraId="753ABAF4" w14:textId="34AB9C0C" w:rsidR="003A7E3B" w:rsidRPr="003A7E3B" w:rsidRDefault="003A7E3B" w:rsidP="003A7E3B">
      <w:pPr>
        <w:rPr>
          <w:rFonts w:eastAsia="Times New Roman" w:cs="Arial"/>
          <w:lang w:eastAsia="en-AU"/>
        </w:rPr>
      </w:pPr>
      <w:r w:rsidRPr="003A7E3B">
        <w:rPr>
          <w:rFonts w:eastAsia="Times New Roman" w:cs="Arial"/>
          <w:lang w:eastAsia="en-AU"/>
        </w:rPr>
        <w:t xml:space="preserve">This model proposes that entrustment decisions should be made </w:t>
      </w:r>
      <w:proofErr w:type="gramStart"/>
      <w:r w:rsidRPr="003A7E3B">
        <w:rPr>
          <w:rFonts w:eastAsia="Times New Roman" w:cs="Arial"/>
          <w:lang w:eastAsia="en-AU"/>
        </w:rPr>
        <w:t>on the basis of</w:t>
      </w:r>
      <w:proofErr w:type="gramEnd"/>
      <w:r w:rsidRPr="003A7E3B">
        <w:rPr>
          <w:rFonts w:eastAsia="Times New Roman" w:cs="Arial"/>
          <w:lang w:eastAsia="en-AU"/>
        </w:rPr>
        <w:t xml:space="preserve"> five features of the trainee which engender trust: </w:t>
      </w:r>
      <w:r w:rsidR="00C1597F" w:rsidRPr="003A7E3B">
        <w:rPr>
          <w:rFonts w:eastAsia="Times New Roman" w:cs="Arial"/>
          <w:b/>
          <w:lang w:eastAsia="en-AU"/>
        </w:rPr>
        <w:t>C</w:t>
      </w:r>
      <w:r w:rsidR="00C1597F" w:rsidRPr="003A7E3B">
        <w:rPr>
          <w:rFonts w:eastAsia="Times New Roman" w:cs="Arial"/>
          <w:lang w:eastAsia="en-AU"/>
        </w:rPr>
        <w:t>apability (or competency)</w:t>
      </w:r>
      <w:r w:rsidR="00C1597F">
        <w:rPr>
          <w:rFonts w:eastAsia="Times New Roman" w:cs="Arial"/>
          <w:lang w:eastAsia="en-AU"/>
        </w:rPr>
        <w:t>,</w:t>
      </w:r>
      <w:r w:rsidR="00C1597F" w:rsidRPr="003A7E3B">
        <w:rPr>
          <w:rFonts w:eastAsia="Times New Roman" w:cs="Arial"/>
          <w:lang w:eastAsia="en-AU"/>
        </w:rPr>
        <w:t xml:space="preserve"> </w:t>
      </w:r>
      <w:r w:rsidRPr="003A7E3B">
        <w:rPr>
          <w:rFonts w:eastAsia="Times New Roman" w:cs="Arial"/>
          <w:b/>
          <w:lang w:eastAsia="en-AU"/>
        </w:rPr>
        <w:t>A</w:t>
      </w:r>
      <w:r w:rsidRPr="003A7E3B">
        <w:rPr>
          <w:rFonts w:eastAsia="Times New Roman" w:cs="Arial"/>
          <w:lang w:eastAsia="en-AU"/>
        </w:rPr>
        <w:t xml:space="preserve">gency, </w:t>
      </w:r>
      <w:r w:rsidRPr="003A7E3B">
        <w:rPr>
          <w:rFonts w:eastAsia="Times New Roman" w:cs="Arial"/>
          <w:b/>
          <w:lang w:eastAsia="en-AU"/>
        </w:rPr>
        <w:t>R</w:t>
      </w:r>
      <w:r w:rsidRPr="003A7E3B">
        <w:rPr>
          <w:rFonts w:eastAsia="Times New Roman" w:cs="Arial"/>
          <w:lang w:eastAsia="en-AU"/>
        </w:rPr>
        <w:t xml:space="preserve">eliability, </w:t>
      </w:r>
      <w:r w:rsidRPr="003A7E3B">
        <w:rPr>
          <w:rFonts w:eastAsia="Times New Roman" w:cs="Arial"/>
          <w:b/>
          <w:lang w:eastAsia="en-AU"/>
        </w:rPr>
        <w:t>I</w:t>
      </w:r>
      <w:r w:rsidRPr="003A7E3B">
        <w:rPr>
          <w:rFonts w:eastAsia="Times New Roman" w:cs="Arial"/>
          <w:lang w:eastAsia="en-AU"/>
        </w:rPr>
        <w:t xml:space="preserve">ntegrity and </w:t>
      </w:r>
      <w:r w:rsidRPr="003A7E3B">
        <w:rPr>
          <w:rFonts w:eastAsia="Times New Roman" w:cs="Arial"/>
          <w:b/>
          <w:lang w:eastAsia="en-AU"/>
        </w:rPr>
        <w:t>H</w:t>
      </w:r>
      <w:r w:rsidRPr="003A7E3B">
        <w:rPr>
          <w:rFonts w:eastAsia="Times New Roman" w:cs="Arial"/>
          <w:lang w:eastAsia="en-AU"/>
        </w:rPr>
        <w:t>umility.</w:t>
      </w:r>
    </w:p>
    <w:p w14:paraId="01F441B4" w14:textId="77777777" w:rsidR="003A7E3B" w:rsidRPr="003A7E3B" w:rsidRDefault="003A7E3B" w:rsidP="003A7E3B">
      <w:pPr>
        <w:rPr>
          <w:rFonts w:eastAsia="Times New Roman" w:cs="Arial"/>
          <w:lang w:eastAsia="en-AU"/>
        </w:rPr>
      </w:pPr>
      <w:r w:rsidRPr="003A7E3B">
        <w:rPr>
          <w:rFonts w:eastAsia="Times New Roman" w:cs="Arial"/>
          <w:b/>
          <w:lang w:eastAsia="en-AU"/>
        </w:rPr>
        <w:t>Capability</w:t>
      </w:r>
      <w:r w:rsidRPr="003A7E3B">
        <w:rPr>
          <w:rFonts w:eastAsia="Times New Roman" w:cs="Arial"/>
          <w:lang w:eastAsia="en-AU"/>
        </w:rPr>
        <w:t xml:space="preserve"> refers to the knowledge, skills, </w:t>
      </w:r>
      <w:proofErr w:type="gramStart"/>
      <w:r w:rsidRPr="003A7E3B">
        <w:rPr>
          <w:rFonts w:eastAsia="Times New Roman" w:cs="Arial"/>
          <w:lang w:eastAsia="en-AU"/>
        </w:rPr>
        <w:t>experiences</w:t>
      </w:r>
      <w:proofErr w:type="gramEnd"/>
      <w:r w:rsidRPr="003A7E3B">
        <w:rPr>
          <w:rFonts w:eastAsia="Times New Roman" w:cs="Arial"/>
          <w:lang w:eastAsia="en-AU"/>
        </w:rPr>
        <w:t xml:space="preserve"> and situational awareness of the intern, and includes aspects such as communication, clinical reasoning/judgement and collaboration skills as well as task-specific knowledge and procedural skills. This element corresponds to aspects which are commonly assessed retrospectively in the workplace and confirms their critical nature. Entrustment is more likely when the intern demonstrates the capability to carry out the activity appropriately and safely on a consistent basis.</w:t>
      </w:r>
    </w:p>
    <w:p w14:paraId="36B5C8E7" w14:textId="7D3BF039" w:rsidR="003A7E3B" w:rsidRPr="003A7E3B" w:rsidRDefault="003A7E3B" w:rsidP="003A7E3B">
      <w:pPr>
        <w:rPr>
          <w:rFonts w:eastAsia="Times New Roman" w:cs="Arial"/>
          <w:lang w:eastAsia="en-AU"/>
        </w:rPr>
      </w:pPr>
      <w:r w:rsidRPr="003A7E3B">
        <w:rPr>
          <w:rFonts w:eastAsia="Times New Roman" w:cs="Arial"/>
          <w:b/>
          <w:lang w:eastAsia="en-AU"/>
        </w:rPr>
        <w:t>Agency</w:t>
      </w:r>
      <w:r w:rsidRPr="003A7E3B">
        <w:rPr>
          <w:rFonts w:eastAsia="Times New Roman" w:cs="Arial"/>
          <w:lang w:eastAsia="en-AU"/>
        </w:rPr>
        <w:t xml:space="preserve"> refers to the level of active involvement by interns in their learning and practice. Greater agency can be inferred when interns show curiosity, passion, </w:t>
      </w:r>
      <w:proofErr w:type="gramStart"/>
      <w:r w:rsidRPr="003A7E3B">
        <w:rPr>
          <w:rFonts w:eastAsia="Times New Roman" w:cs="Arial"/>
          <w:lang w:eastAsia="en-AU"/>
        </w:rPr>
        <w:t>energy</w:t>
      </w:r>
      <w:proofErr w:type="gramEnd"/>
      <w:r w:rsidRPr="003A7E3B">
        <w:rPr>
          <w:rFonts w:eastAsia="Times New Roman" w:cs="Arial"/>
          <w:lang w:eastAsia="en-AU"/>
        </w:rPr>
        <w:t xml:space="preserve"> and enthusiasm in their work, when they take ownership of their training and personal development, and when they are responsive rather than reactive to the needs of patients and the workplace. Entrustment is more likely when the intern offers options for solutions to identified problems rather than waiting for answers from </w:t>
      </w:r>
      <w:r w:rsidR="00283EDF" w:rsidRPr="003A7E3B">
        <w:rPr>
          <w:rFonts w:eastAsia="Times New Roman" w:cs="Arial"/>
          <w:lang w:eastAsia="en-AU"/>
        </w:rPr>
        <w:t>others and</w:t>
      </w:r>
      <w:r w:rsidRPr="003A7E3B">
        <w:rPr>
          <w:rFonts w:eastAsia="Times New Roman" w:cs="Arial"/>
          <w:lang w:eastAsia="en-AU"/>
        </w:rPr>
        <w:t xml:space="preserve"> identifies potential problems (and solutions) before they arise.</w:t>
      </w:r>
    </w:p>
    <w:p w14:paraId="67B0AFF1" w14:textId="77777777" w:rsidR="003A7E3B" w:rsidRPr="003A7E3B" w:rsidRDefault="003A7E3B" w:rsidP="003A7E3B">
      <w:pPr>
        <w:rPr>
          <w:rFonts w:eastAsia="Times New Roman" w:cs="Arial"/>
          <w:lang w:eastAsia="en-AU"/>
        </w:rPr>
      </w:pPr>
      <w:r w:rsidRPr="003A7E3B">
        <w:rPr>
          <w:rFonts w:eastAsia="Times New Roman" w:cs="Arial"/>
          <w:b/>
          <w:lang w:eastAsia="en-AU"/>
        </w:rPr>
        <w:t xml:space="preserve">Reliability </w:t>
      </w:r>
      <w:r w:rsidRPr="003A7E3B">
        <w:rPr>
          <w:rFonts w:eastAsia="Times New Roman" w:cs="Arial"/>
          <w:lang w:eastAsia="en-AU"/>
        </w:rPr>
        <w:t xml:space="preserve">refers to the extent to which interns demonstrate conscientiousness, predictability, </w:t>
      </w:r>
      <w:proofErr w:type="gramStart"/>
      <w:r w:rsidRPr="003A7E3B">
        <w:rPr>
          <w:rFonts w:eastAsia="Times New Roman" w:cs="Arial"/>
          <w:lang w:eastAsia="en-AU"/>
        </w:rPr>
        <w:t>accountability</w:t>
      </w:r>
      <w:proofErr w:type="gramEnd"/>
      <w:r w:rsidRPr="003A7E3B">
        <w:rPr>
          <w:rFonts w:eastAsia="Times New Roman" w:cs="Arial"/>
          <w:lang w:eastAsia="en-AU"/>
        </w:rPr>
        <w:t xml:space="preserve"> and responsibility in their daily practice. Entrustment is more likely when the intern consistently fulfils allocated responsibilities, works thoroughly and with attention to detail, and takes a fair share of the work to be done.</w:t>
      </w:r>
    </w:p>
    <w:p w14:paraId="2E30DC58" w14:textId="5A0EA32B" w:rsidR="003A7E3B" w:rsidRPr="003A7E3B" w:rsidRDefault="003A7E3B" w:rsidP="003A7E3B">
      <w:pPr>
        <w:rPr>
          <w:rFonts w:eastAsia="Times New Roman" w:cs="Arial"/>
          <w:lang w:eastAsia="en-AU"/>
        </w:rPr>
      </w:pPr>
      <w:r w:rsidRPr="003A7E3B">
        <w:rPr>
          <w:rFonts w:eastAsia="Times New Roman" w:cs="Arial"/>
          <w:b/>
          <w:lang w:eastAsia="en-AU"/>
        </w:rPr>
        <w:t>Integrity</w:t>
      </w:r>
      <w:r w:rsidRPr="003A7E3B">
        <w:rPr>
          <w:rFonts w:eastAsia="Times New Roman" w:cs="Arial"/>
          <w:lang w:eastAsia="en-AU"/>
        </w:rPr>
        <w:t xml:space="preserve"> refers to the extent to which interns demonstrate honesty, act with </w:t>
      </w:r>
      <w:proofErr w:type="gramStart"/>
      <w:r w:rsidRPr="003A7E3B">
        <w:rPr>
          <w:rFonts w:eastAsia="Times New Roman" w:cs="Arial"/>
          <w:lang w:eastAsia="en-AU"/>
        </w:rPr>
        <w:t>benevolence</w:t>
      </w:r>
      <w:proofErr w:type="gramEnd"/>
      <w:r w:rsidRPr="003A7E3B">
        <w:rPr>
          <w:rFonts w:eastAsia="Times New Roman" w:cs="Arial"/>
          <w:lang w:eastAsia="en-AU"/>
        </w:rPr>
        <w:t xml:space="preserve"> and show commitment to person-centred care. Integrity also encompasses cultural safety, respect and responsiveness, and a commitment to safety and social accountability. Entrustment is more likely when interns do not withhold information, particularly information that does not </w:t>
      </w:r>
      <w:r w:rsidR="00A85A19">
        <w:rPr>
          <w:rFonts w:eastAsia="Times New Roman" w:cs="Arial"/>
          <w:lang w:eastAsia="en-AU"/>
        </w:rPr>
        <w:t>present</w:t>
      </w:r>
      <w:r w:rsidRPr="003A7E3B">
        <w:rPr>
          <w:rFonts w:eastAsia="Times New Roman" w:cs="Arial"/>
          <w:lang w:eastAsia="en-AU"/>
        </w:rPr>
        <w:t xml:space="preserve"> them in a good </w:t>
      </w:r>
      <w:proofErr w:type="gramStart"/>
      <w:r w:rsidRPr="003A7E3B">
        <w:rPr>
          <w:rFonts w:eastAsia="Times New Roman" w:cs="Arial"/>
          <w:lang w:eastAsia="en-AU"/>
        </w:rPr>
        <w:t>light, and</w:t>
      </w:r>
      <w:proofErr w:type="gramEnd"/>
      <w:r w:rsidRPr="003A7E3B">
        <w:rPr>
          <w:rFonts w:eastAsia="Times New Roman" w:cs="Arial"/>
          <w:lang w:eastAsia="en-AU"/>
        </w:rPr>
        <w:t xml:space="preserve"> admit readily to errors and oversights. Entrustment is also more likely when the intern demonstrates person-centredness through respect, empathy, professional and ethical behaviours and personal accountability for decisions and outcomes. </w:t>
      </w:r>
    </w:p>
    <w:p w14:paraId="49CBBCC2" w14:textId="77777777" w:rsidR="003A7E3B" w:rsidRPr="003A7E3B" w:rsidRDefault="003A7E3B" w:rsidP="003A7E3B">
      <w:pPr>
        <w:rPr>
          <w:rFonts w:eastAsia="Times New Roman" w:cs="Arial"/>
          <w:szCs w:val="24"/>
          <w:lang w:eastAsia="en-AU"/>
        </w:rPr>
      </w:pPr>
      <w:r w:rsidRPr="003A7E3B">
        <w:rPr>
          <w:rFonts w:eastAsia="Times New Roman" w:cs="Arial"/>
          <w:b/>
          <w:lang w:eastAsia="en-AU"/>
        </w:rPr>
        <w:t>Humility</w:t>
      </w:r>
      <w:r w:rsidRPr="003A7E3B">
        <w:rPr>
          <w:rFonts w:eastAsia="Times New Roman" w:cs="Arial"/>
          <w:lang w:eastAsia="en-AU"/>
        </w:rPr>
        <w:t xml:space="preserve"> refers to interns’ ability to discern their own limits in knowledge and skills, know when to ask for help, and be willing to do so. It also encompasses openness to feedback and willingness to act on it, the ability to learn and improve </w:t>
      </w:r>
      <w:proofErr w:type="gramStart"/>
      <w:r w:rsidRPr="003A7E3B">
        <w:rPr>
          <w:rFonts w:eastAsia="Times New Roman" w:cs="Arial"/>
          <w:lang w:eastAsia="en-AU"/>
        </w:rPr>
        <w:t>as a result of</w:t>
      </w:r>
      <w:proofErr w:type="gramEnd"/>
      <w:r w:rsidRPr="003A7E3B">
        <w:rPr>
          <w:rFonts w:eastAsia="Times New Roman" w:cs="Arial"/>
          <w:lang w:eastAsia="en-AU"/>
        </w:rPr>
        <w:t xml:space="preserve"> making errors, acknowledgement of the existence of uncertainty, and the recognition that non-professional colleagues may have valuable expertise. Entrustment is more likely when interns accept their own fallibility and are open to suggestions on how to improve practice and patient care.</w:t>
      </w:r>
    </w:p>
    <w:p w14:paraId="544EA85E" w14:textId="20318C49" w:rsidR="003A7E3B" w:rsidRPr="003A7E3B" w:rsidRDefault="003A7E3B" w:rsidP="003A7E3B">
      <w:pPr>
        <w:rPr>
          <w:rFonts w:eastAsia="Times New Roman" w:cs="Arial"/>
          <w:szCs w:val="24"/>
          <w:lang w:eastAsia="en-AU"/>
        </w:rPr>
      </w:pPr>
      <w:r w:rsidRPr="003A7E3B">
        <w:rPr>
          <w:rFonts w:eastAsia="Times New Roman" w:cs="Arial"/>
          <w:szCs w:val="24"/>
          <w:lang w:eastAsia="en-AU"/>
        </w:rPr>
        <w:t xml:space="preserve">It is worth noting that </w:t>
      </w:r>
      <w:r w:rsidR="00830E4C">
        <w:rPr>
          <w:rFonts w:eastAsia="Times New Roman" w:cs="Arial"/>
          <w:szCs w:val="24"/>
          <w:lang w:eastAsia="en-AU"/>
        </w:rPr>
        <w:t>P</w:t>
      </w:r>
      <w:r w:rsidRPr="003A7E3B">
        <w:rPr>
          <w:rFonts w:eastAsia="Times New Roman" w:cs="Arial"/>
          <w:szCs w:val="24"/>
          <w:lang w:eastAsia="en-AU"/>
        </w:rPr>
        <w:t xml:space="preserve">erformance </w:t>
      </w:r>
      <w:r w:rsidR="00830E4C">
        <w:rPr>
          <w:rFonts w:eastAsia="Times New Roman" w:cs="Arial"/>
          <w:szCs w:val="24"/>
          <w:lang w:eastAsia="en-AU"/>
        </w:rPr>
        <w:t>O</w:t>
      </w:r>
      <w:r w:rsidRPr="003A7E3B">
        <w:rPr>
          <w:rFonts w:eastAsia="Times New Roman" w:cs="Arial"/>
          <w:szCs w:val="24"/>
          <w:lang w:eastAsia="en-AU"/>
        </w:rPr>
        <w:t>utcomes 4.2 and 5.3 address some elements of this framework, and entrustment decisions made in relation to EPAs are also likely to provide evidence in relation to:</w:t>
      </w:r>
    </w:p>
    <w:p w14:paraId="689E0A6B" w14:textId="77777777" w:rsidR="003A7E3B" w:rsidRPr="003A7E3B" w:rsidRDefault="003A7E3B" w:rsidP="003A7E3B">
      <w:pPr>
        <w:pStyle w:val="ListParagraph"/>
        <w:numPr>
          <w:ilvl w:val="0"/>
          <w:numId w:val="4"/>
        </w:numPr>
        <w:spacing w:after="120"/>
        <w:rPr>
          <w:rFonts w:eastAsia="Times New Roman" w:cs="Arial"/>
          <w:szCs w:val="24"/>
          <w:lang w:eastAsia="en-AU"/>
        </w:rPr>
      </w:pPr>
      <w:r w:rsidRPr="003A7E3B">
        <w:rPr>
          <w:rFonts w:eastAsia="Times New Roman" w:cs="Arial"/>
          <w:szCs w:val="24"/>
          <w:lang w:eastAsia="en-AU"/>
        </w:rPr>
        <w:t>identifying and acknowledging professional limitations and seeking appropriate support where necessary, including additional professional education and/or referral of patients to other health care professionals (4.2)</w:t>
      </w:r>
    </w:p>
    <w:p w14:paraId="120296C5" w14:textId="48296357" w:rsidR="003A7E3B" w:rsidRDefault="003A7E3B" w:rsidP="003A7E3B">
      <w:pPr>
        <w:pStyle w:val="ListParagraph"/>
        <w:numPr>
          <w:ilvl w:val="0"/>
          <w:numId w:val="4"/>
        </w:numPr>
        <w:spacing w:after="120"/>
        <w:rPr>
          <w:rFonts w:eastAsia="Times New Roman" w:cs="Arial"/>
          <w:szCs w:val="24"/>
          <w:lang w:eastAsia="en-AU"/>
        </w:rPr>
      </w:pPr>
      <w:r w:rsidRPr="003A7E3B">
        <w:rPr>
          <w:rFonts w:eastAsia="Times New Roman" w:cs="Arial"/>
          <w:szCs w:val="24"/>
          <w:lang w:eastAsia="en-AU"/>
        </w:rPr>
        <w:t xml:space="preserve">recognising and responding to the inherent complexity, </w:t>
      </w:r>
      <w:proofErr w:type="gramStart"/>
      <w:r w:rsidRPr="003A7E3B">
        <w:rPr>
          <w:rFonts w:eastAsia="Times New Roman" w:cs="Arial"/>
          <w:szCs w:val="24"/>
          <w:lang w:eastAsia="en-AU"/>
        </w:rPr>
        <w:t>ambiguity</w:t>
      </w:r>
      <w:proofErr w:type="gramEnd"/>
      <w:r w:rsidRPr="003A7E3B">
        <w:rPr>
          <w:rFonts w:eastAsia="Times New Roman" w:cs="Arial"/>
          <w:szCs w:val="24"/>
          <w:lang w:eastAsia="en-AU"/>
        </w:rPr>
        <w:t xml:space="preserve"> and uncertainty of contemporary and future professional practice (5.3)</w:t>
      </w:r>
      <w:r w:rsidR="00E554E3">
        <w:rPr>
          <w:rFonts w:eastAsia="Times New Roman" w:cs="Arial"/>
          <w:szCs w:val="24"/>
          <w:lang w:eastAsia="en-AU"/>
        </w:rPr>
        <w:t>.</w:t>
      </w:r>
    </w:p>
    <w:p w14:paraId="11938FF8" w14:textId="0628E969" w:rsidR="002E2FF9" w:rsidRPr="008A7AC5" w:rsidRDefault="002E2FF9" w:rsidP="002E2FF9">
      <w:pPr>
        <w:pStyle w:val="Heading1"/>
        <w:rPr>
          <w:rFonts w:eastAsia="Times New Roman"/>
          <w:lang w:eastAsia="en-AU"/>
        </w:rPr>
      </w:pPr>
      <w:bookmarkStart w:id="7" w:name="_Toc70607185"/>
      <w:r>
        <w:rPr>
          <w:rFonts w:eastAsia="Times New Roman"/>
          <w:lang w:eastAsia="en-AU"/>
        </w:rPr>
        <w:lastRenderedPageBreak/>
        <w:t>Reflection</w:t>
      </w:r>
      <w:bookmarkEnd w:id="7"/>
    </w:p>
    <w:p w14:paraId="5A9E2AE7" w14:textId="77777777" w:rsidR="00D3372A" w:rsidRDefault="0002131A" w:rsidP="0002131A">
      <w:pPr>
        <w:rPr>
          <w:rFonts w:eastAsia="Times New Roman" w:cs="Arial"/>
          <w:szCs w:val="24"/>
          <w:lang w:eastAsia="en-AU"/>
        </w:rPr>
      </w:pPr>
      <w:r>
        <w:rPr>
          <w:rFonts w:eastAsia="Times New Roman" w:cs="Arial"/>
          <w:szCs w:val="24"/>
          <w:lang w:eastAsia="en-AU"/>
        </w:rPr>
        <w:t>Adaptive expertise</w:t>
      </w:r>
      <w:r w:rsidR="001F628D">
        <w:rPr>
          <w:rFonts w:eastAsia="Times New Roman" w:cs="Arial"/>
          <w:szCs w:val="24"/>
          <w:lang w:eastAsia="en-AU"/>
        </w:rPr>
        <w:t xml:space="preserve"> is therefore critical to the concept of </w:t>
      </w:r>
      <w:proofErr w:type="gramStart"/>
      <w:r w:rsidR="001F628D">
        <w:rPr>
          <w:rFonts w:eastAsia="Times New Roman" w:cs="Arial"/>
          <w:szCs w:val="24"/>
          <w:lang w:eastAsia="en-AU"/>
        </w:rPr>
        <w:t>entrustment, since</w:t>
      </w:r>
      <w:proofErr w:type="gramEnd"/>
      <w:r w:rsidR="001F628D">
        <w:rPr>
          <w:rFonts w:eastAsia="Times New Roman" w:cs="Arial"/>
          <w:szCs w:val="24"/>
          <w:lang w:eastAsia="en-AU"/>
        </w:rPr>
        <w:t xml:space="preserve"> </w:t>
      </w:r>
      <w:r w:rsidR="00C33C9F">
        <w:rPr>
          <w:rFonts w:eastAsia="Times New Roman" w:cs="Arial"/>
          <w:szCs w:val="24"/>
          <w:lang w:eastAsia="en-AU"/>
        </w:rPr>
        <w:t>an individual will ultimately be entrusted to perform in situations and contexts which have not previously been encountered.</w:t>
      </w:r>
      <w:r w:rsidR="002E2FF9">
        <w:rPr>
          <w:rFonts w:eastAsia="Times New Roman" w:cs="Arial"/>
          <w:szCs w:val="24"/>
          <w:lang w:eastAsia="en-AU"/>
        </w:rPr>
        <w:t xml:space="preserve"> The development and maintenance of adaptive expertise</w:t>
      </w:r>
      <w:r>
        <w:rPr>
          <w:rFonts w:eastAsia="Times New Roman" w:cs="Arial"/>
          <w:szCs w:val="24"/>
          <w:lang w:eastAsia="en-AU"/>
        </w:rPr>
        <w:t xml:space="preserve"> is underpinned by </w:t>
      </w:r>
      <w:r w:rsidR="005E0AA8">
        <w:rPr>
          <w:rFonts w:eastAsia="Times New Roman" w:cs="Arial"/>
          <w:szCs w:val="24"/>
          <w:lang w:eastAsia="en-AU"/>
        </w:rPr>
        <w:t xml:space="preserve">the capacity to reflect realistically and effectively on past performance </w:t>
      </w:r>
      <w:proofErr w:type="gramStart"/>
      <w:r w:rsidR="005E0AA8">
        <w:rPr>
          <w:rFonts w:eastAsia="Times New Roman" w:cs="Arial"/>
          <w:szCs w:val="24"/>
          <w:lang w:eastAsia="en-AU"/>
        </w:rPr>
        <w:t>in order to</w:t>
      </w:r>
      <w:proofErr w:type="gramEnd"/>
      <w:r w:rsidR="005E0AA8">
        <w:rPr>
          <w:rFonts w:eastAsia="Times New Roman" w:cs="Arial"/>
          <w:szCs w:val="24"/>
          <w:lang w:eastAsia="en-AU"/>
        </w:rPr>
        <w:t xml:space="preserve"> make decisions about how a related event or activity will be handled in the future. Insight into their own areas of strength and weakness provides evidence of </w:t>
      </w:r>
      <w:r w:rsidR="00D3372A">
        <w:rPr>
          <w:rFonts w:eastAsia="Times New Roman" w:cs="Arial"/>
          <w:szCs w:val="24"/>
          <w:lang w:eastAsia="en-AU"/>
        </w:rPr>
        <w:t xml:space="preserve">the </w:t>
      </w:r>
      <w:r w:rsidR="005E0AA8">
        <w:rPr>
          <w:rFonts w:eastAsia="Times New Roman" w:cs="Arial"/>
          <w:szCs w:val="24"/>
          <w:lang w:eastAsia="en-AU"/>
        </w:rPr>
        <w:t>adaptive expertise</w:t>
      </w:r>
      <w:r w:rsidR="00D3372A">
        <w:rPr>
          <w:rFonts w:eastAsia="Times New Roman" w:cs="Arial"/>
          <w:szCs w:val="24"/>
          <w:lang w:eastAsia="en-AU"/>
        </w:rPr>
        <w:t xml:space="preserve"> of interns</w:t>
      </w:r>
      <w:r w:rsidR="005E0AA8">
        <w:rPr>
          <w:rFonts w:eastAsia="Times New Roman" w:cs="Arial"/>
          <w:szCs w:val="24"/>
          <w:lang w:eastAsia="en-AU"/>
        </w:rPr>
        <w:t xml:space="preserve">, </w:t>
      </w:r>
      <w:r w:rsidR="00D3372A">
        <w:rPr>
          <w:rFonts w:eastAsia="Times New Roman" w:cs="Arial"/>
          <w:szCs w:val="24"/>
          <w:lang w:eastAsia="en-AU"/>
        </w:rPr>
        <w:t>who</w:t>
      </w:r>
      <w:r w:rsidR="005E0AA8">
        <w:rPr>
          <w:rFonts w:eastAsia="Times New Roman" w:cs="Arial"/>
          <w:szCs w:val="24"/>
          <w:lang w:eastAsia="en-AU"/>
        </w:rPr>
        <w:t xml:space="preserve"> should be encouraged to engage systematically in reflective practice. </w:t>
      </w:r>
    </w:p>
    <w:p w14:paraId="26AC9197" w14:textId="39B0C904" w:rsidR="00B20842" w:rsidRDefault="00D3372A" w:rsidP="0002131A">
      <w:pPr>
        <w:rPr>
          <w:rFonts w:eastAsia="Times New Roman" w:cs="Arial"/>
          <w:szCs w:val="24"/>
          <w:lang w:eastAsia="en-AU"/>
        </w:rPr>
      </w:pPr>
      <w:r>
        <w:rPr>
          <w:rFonts w:eastAsia="Times New Roman" w:cs="Arial"/>
          <w:szCs w:val="24"/>
          <w:lang w:eastAsia="en-AU"/>
        </w:rPr>
        <w:t xml:space="preserve">The importance of developing a reflective mindset and approach to professional practice cannot be underestimated or underemphasised. </w:t>
      </w:r>
      <w:r w:rsidR="005E0AA8">
        <w:rPr>
          <w:rFonts w:eastAsia="Times New Roman" w:cs="Arial"/>
          <w:szCs w:val="24"/>
          <w:lang w:eastAsia="en-AU"/>
        </w:rPr>
        <w:t>Reflective elements are included in the assessment protocols for each EPA, and a standalone reflective activity is also available to supplement the EPA assessments.</w:t>
      </w:r>
      <w:r>
        <w:rPr>
          <w:rFonts w:eastAsia="Times New Roman" w:cs="Arial"/>
          <w:szCs w:val="24"/>
          <w:lang w:eastAsia="en-AU"/>
        </w:rPr>
        <w:t xml:space="preserve"> </w:t>
      </w:r>
    </w:p>
    <w:p w14:paraId="37DCCD6C" w14:textId="507B8BA4" w:rsidR="003A7E3B" w:rsidRPr="00011F98" w:rsidRDefault="003A7E3B" w:rsidP="00DB1E44">
      <w:pPr>
        <w:pStyle w:val="Heading1"/>
        <w:rPr>
          <w:rFonts w:eastAsia="Times New Roman"/>
          <w:lang w:eastAsia="en-AU"/>
        </w:rPr>
      </w:pPr>
      <w:bookmarkStart w:id="8" w:name="_Toc70607186"/>
      <w:r w:rsidRPr="00011F98">
        <w:rPr>
          <w:rFonts w:eastAsia="Times New Roman"/>
          <w:lang w:eastAsia="en-AU"/>
        </w:rPr>
        <w:t>Levels of supervision</w:t>
      </w:r>
      <w:bookmarkEnd w:id="8"/>
    </w:p>
    <w:p w14:paraId="2CC18406" w14:textId="02A95479" w:rsidR="003A7E3B" w:rsidRPr="003A7E3B" w:rsidRDefault="003A7E3B" w:rsidP="003A7E3B">
      <w:pPr>
        <w:rPr>
          <w:rFonts w:eastAsia="Times New Roman" w:cs="Arial"/>
          <w:szCs w:val="20"/>
          <w:lang w:eastAsia="en-AU"/>
        </w:rPr>
      </w:pPr>
      <w:r w:rsidRPr="003A7E3B">
        <w:rPr>
          <w:rFonts w:eastAsia="Times New Roman" w:cs="Arial"/>
          <w:szCs w:val="20"/>
          <w:lang w:eastAsia="en-AU"/>
        </w:rPr>
        <w:t xml:space="preserve">The original formulations of EPAs described five levels of </w:t>
      </w:r>
      <w:r w:rsidRPr="00556A73">
        <w:rPr>
          <w:rFonts w:eastAsia="Times New Roman" w:cs="Arial"/>
          <w:szCs w:val="20"/>
          <w:lang w:eastAsia="en-AU"/>
        </w:rPr>
        <w:t>supervision (</w:t>
      </w:r>
      <w:r w:rsidR="00556A73" w:rsidRPr="00556A73">
        <w:rPr>
          <w:rFonts w:eastAsia="Times New Roman" w:cs="Arial"/>
          <w:szCs w:val="20"/>
          <w:lang w:eastAsia="en-AU"/>
        </w:rPr>
        <w:t>ten Cate, 2013</w:t>
      </w:r>
      <w:r w:rsidRPr="00556A73">
        <w:rPr>
          <w:rFonts w:eastAsia="Times New Roman" w:cs="Arial"/>
          <w:szCs w:val="20"/>
          <w:lang w:eastAsia="en-AU"/>
        </w:rPr>
        <w:t>), which</w:t>
      </w:r>
      <w:r w:rsidRPr="003A7E3B">
        <w:rPr>
          <w:rFonts w:eastAsia="Times New Roman" w:cs="Arial"/>
          <w:szCs w:val="20"/>
          <w:lang w:eastAsia="en-AU"/>
        </w:rPr>
        <w:t xml:space="preserve"> correlate to permission to:</w:t>
      </w:r>
    </w:p>
    <w:p w14:paraId="16F2A137" w14:textId="77777777" w:rsidR="003A7E3B" w:rsidRPr="003A7E3B" w:rsidRDefault="003A7E3B" w:rsidP="003A7E3B">
      <w:pPr>
        <w:pStyle w:val="ListParagraph"/>
        <w:numPr>
          <w:ilvl w:val="0"/>
          <w:numId w:val="5"/>
        </w:numPr>
        <w:spacing w:after="120"/>
        <w:rPr>
          <w:rFonts w:eastAsia="Times New Roman" w:cs="Arial"/>
          <w:szCs w:val="20"/>
          <w:lang w:eastAsia="en-AU"/>
        </w:rPr>
      </w:pPr>
      <w:r w:rsidRPr="003A7E3B">
        <w:rPr>
          <w:rFonts w:eastAsia="Times New Roman" w:cs="Arial"/>
          <w:szCs w:val="20"/>
          <w:lang w:eastAsia="en-AU"/>
        </w:rPr>
        <w:t>be present and observe only, without active participation (Level 1)</w:t>
      </w:r>
    </w:p>
    <w:p w14:paraId="751F75F2" w14:textId="728F4766" w:rsidR="003A7E3B" w:rsidRPr="003A7E3B" w:rsidRDefault="003A7E3B" w:rsidP="003A7E3B">
      <w:pPr>
        <w:pStyle w:val="ListParagraph"/>
        <w:numPr>
          <w:ilvl w:val="0"/>
          <w:numId w:val="5"/>
        </w:numPr>
        <w:spacing w:after="120"/>
        <w:rPr>
          <w:rFonts w:eastAsia="Times New Roman" w:cs="Arial"/>
          <w:szCs w:val="20"/>
          <w:lang w:eastAsia="en-AU"/>
        </w:rPr>
      </w:pPr>
      <w:r w:rsidRPr="003A7E3B">
        <w:rPr>
          <w:rFonts w:eastAsia="Times New Roman" w:cs="Arial"/>
          <w:szCs w:val="20"/>
          <w:lang w:eastAsia="en-AU"/>
        </w:rPr>
        <w:t>act with direct, proactive supervision, (</w:t>
      </w:r>
      <w:proofErr w:type="gramStart"/>
      <w:r w:rsidRPr="003A7E3B">
        <w:rPr>
          <w:rFonts w:eastAsia="Times New Roman" w:cs="Arial"/>
          <w:szCs w:val="20"/>
          <w:lang w:eastAsia="en-AU"/>
        </w:rPr>
        <w:t>i</w:t>
      </w:r>
      <w:r w:rsidR="00EA0996">
        <w:rPr>
          <w:rFonts w:eastAsia="Times New Roman" w:cs="Arial"/>
          <w:szCs w:val="20"/>
          <w:lang w:eastAsia="en-AU"/>
        </w:rPr>
        <w:t>.</w:t>
      </w:r>
      <w:r w:rsidRPr="003A7E3B">
        <w:rPr>
          <w:rFonts w:eastAsia="Times New Roman" w:cs="Arial"/>
          <w:szCs w:val="20"/>
          <w:lang w:eastAsia="en-AU"/>
        </w:rPr>
        <w:t>e</w:t>
      </w:r>
      <w:r w:rsidR="00EA0996">
        <w:rPr>
          <w:rFonts w:eastAsia="Times New Roman" w:cs="Arial"/>
          <w:szCs w:val="20"/>
          <w:lang w:eastAsia="en-AU"/>
        </w:rPr>
        <w:t>.</w:t>
      </w:r>
      <w:proofErr w:type="gramEnd"/>
      <w:r w:rsidRPr="003A7E3B">
        <w:rPr>
          <w:rFonts w:eastAsia="Times New Roman" w:cs="Arial"/>
          <w:szCs w:val="20"/>
          <w:lang w:eastAsia="en-AU"/>
        </w:rPr>
        <w:t xml:space="preserve"> with a supervisor physically present in the room) (Level 2)</w:t>
      </w:r>
    </w:p>
    <w:p w14:paraId="52FCC33E" w14:textId="59BB3E1F" w:rsidR="003A7E3B" w:rsidRPr="003A7E3B" w:rsidRDefault="003A7E3B" w:rsidP="003A7E3B">
      <w:pPr>
        <w:pStyle w:val="ListParagraph"/>
        <w:numPr>
          <w:ilvl w:val="0"/>
          <w:numId w:val="5"/>
        </w:numPr>
        <w:spacing w:after="120"/>
        <w:rPr>
          <w:rFonts w:eastAsia="Times New Roman" w:cs="Arial"/>
          <w:szCs w:val="20"/>
          <w:lang w:eastAsia="en-AU"/>
        </w:rPr>
      </w:pPr>
      <w:r w:rsidRPr="003A7E3B">
        <w:rPr>
          <w:rFonts w:eastAsia="Times New Roman" w:cs="Arial"/>
          <w:szCs w:val="20"/>
          <w:lang w:eastAsia="en-AU"/>
        </w:rPr>
        <w:t>act with indirect, reactive supervision, (</w:t>
      </w:r>
      <w:proofErr w:type="gramStart"/>
      <w:r w:rsidRPr="003A7E3B">
        <w:rPr>
          <w:rFonts w:eastAsia="Times New Roman" w:cs="Arial"/>
          <w:szCs w:val="20"/>
          <w:lang w:eastAsia="en-AU"/>
        </w:rPr>
        <w:t>i</w:t>
      </w:r>
      <w:r w:rsidR="00EA0996">
        <w:rPr>
          <w:rFonts w:eastAsia="Times New Roman" w:cs="Arial"/>
          <w:szCs w:val="20"/>
          <w:lang w:eastAsia="en-AU"/>
        </w:rPr>
        <w:t>.</w:t>
      </w:r>
      <w:r w:rsidRPr="003A7E3B">
        <w:rPr>
          <w:rFonts w:eastAsia="Times New Roman" w:cs="Arial"/>
          <w:szCs w:val="20"/>
          <w:lang w:eastAsia="en-AU"/>
        </w:rPr>
        <w:t>e</w:t>
      </w:r>
      <w:r w:rsidR="00EA0996">
        <w:rPr>
          <w:rFonts w:eastAsia="Times New Roman" w:cs="Arial"/>
          <w:szCs w:val="20"/>
          <w:lang w:eastAsia="en-AU"/>
        </w:rPr>
        <w:t>.</w:t>
      </w:r>
      <w:proofErr w:type="gramEnd"/>
      <w:r w:rsidRPr="003A7E3B">
        <w:rPr>
          <w:rFonts w:eastAsia="Times New Roman" w:cs="Arial"/>
          <w:szCs w:val="20"/>
          <w:lang w:eastAsia="en-AU"/>
        </w:rPr>
        <w:t xml:space="preserve"> supervision readily available on request) (Level 3)</w:t>
      </w:r>
    </w:p>
    <w:p w14:paraId="45DB04F4" w14:textId="77777777" w:rsidR="003A7E3B" w:rsidRPr="003A7E3B" w:rsidRDefault="003A7E3B" w:rsidP="003A7E3B">
      <w:pPr>
        <w:pStyle w:val="ListParagraph"/>
        <w:numPr>
          <w:ilvl w:val="0"/>
          <w:numId w:val="5"/>
        </w:numPr>
        <w:spacing w:after="120"/>
        <w:rPr>
          <w:rFonts w:eastAsia="Times New Roman" w:cs="Arial"/>
          <w:szCs w:val="20"/>
          <w:lang w:eastAsia="en-AU"/>
        </w:rPr>
      </w:pPr>
      <w:r w:rsidRPr="003A7E3B">
        <w:rPr>
          <w:rFonts w:eastAsia="Times New Roman" w:cs="Arial"/>
          <w:szCs w:val="20"/>
          <w:lang w:eastAsia="en-AU"/>
        </w:rPr>
        <w:t>act with supervision not readily available, but with distant supervision and oversight (Level 4)</w:t>
      </w:r>
    </w:p>
    <w:p w14:paraId="7E59DFE6" w14:textId="76D4E9CD" w:rsidR="003A7E3B" w:rsidRPr="003A7E3B" w:rsidRDefault="003A7E3B" w:rsidP="003A7E3B">
      <w:pPr>
        <w:pStyle w:val="ListParagraph"/>
        <w:numPr>
          <w:ilvl w:val="0"/>
          <w:numId w:val="5"/>
        </w:numPr>
        <w:spacing w:after="120"/>
        <w:rPr>
          <w:rFonts w:eastAsia="Times New Roman" w:cs="Arial"/>
          <w:szCs w:val="20"/>
          <w:lang w:eastAsia="en-AU"/>
        </w:rPr>
      </w:pPr>
      <w:r w:rsidRPr="003A7E3B">
        <w:rPr>
          <w:rFonts w:eastAsia="Times New Roman" w:cs="Arial"/>
          <w:szCs w:val="20"/>
          <w:lang w:eastAsia="en-AU"/>
        </w:rPr>
        <w:t>provide supervision to junior trainees (Level 5)</w:t>
      </w:r>
      <w:r w:rsidR="00E554E3">
        <w:rPr>
          <w:rFonts w:eastAsia="Times New Roman" w:cs="Arial"/>
          <w:szCs w:val="20"/>
          <w:lang w:eastAsia="en-AU"/>
        </w:rPr>
        <w:t>.</w:t>
      </w:r>
    </w:p>
    <w:p w14:paraId="557941AC" w14:textId="4D1CADB3" w:rsidR="00026183" w:rsidRDefault="003A7E3B" w:rsidP="003A7E3B">
      <w:pPr>
        <w:rPr>
          <w:rFonts w:eastAsia="Times New Roman" w:cs="Arial"/>
          <w:szCs w:val="20"/>
          <w:lang w:eastAsia="en-AU"/>
        </w:rPr>
      </w:pPr>
      <w:r w:rsidRPr="003A7E3B">
        <w:rPr>
          <w:rFonts w:eastAsia="Times New Roman" w:cs="Arial"/>
          <w:szCs w:val="20"/>
          <w:lang w:eastAsia="en-AU"/>
        </w:rPr>
        <w:t xml:space="preserve">Subsequent models have subdivided a number of these levels to provide a more fine-grained scale and/or modified the wording to suit a particular profession or context. </w:t>
      </w:r>
    </w:p>
    <w:p w14:paraId="60409C45" w14:textId="5D6FEDE9" w:rsidR="003A7E3B" w:rsidRPr="003A7E3B" w:rsidRDefault="00BD1058" w:rsidP="003A7E3B">
      <w:pPr>
        <w:rPr>
          <w:rFonts w:eastAsia="Times New Roman" w:cs="Arial"/>
          <w:szCs w:val="20"/>
          <w:lang w:eastAsia="en-AU"/>
        </w:rPr>
      </w:pPr>
      <w:proofErr w:type="gramStart"/>
      <w:r>
        <w:rPr>
          <w:rFonts w:eastAsia="Times New Roman" w:cs="Arial"/>
          <w:szCs w:val="20"/>
          <w:lang w:eastAsia="en-AU"/>
        </w:rPr>
        <w:t>For the purpose of</w:t>
      </w:r>
      <w:proofErr w:type="gramEnd"/>
      <w:r>
        <w:rPr>
          <w:rFonts w:eastAsia="Times New Roman" w:cs="Arial"/>
          <w:szCs w:val="20"/>
          <w:lang w:eastAsia="en-AU"/>
        </w:rPr>
        <w:t xml:space="preserve"> this Guide and the context of the pharmacy intern year, the following descriptors are used:</w:t>
      </w:r>
    </w:p>
    <w:p w14:paraId="14ED695B" w14:textId="4762ABC0" w:rsidR="00C5745E" w:rsidRDefault="00C5745E" w:rsidP="00C5745E">
      <w:pPr>
        <w:pStyle w:val="Caption"/>
        <w:keepNext/>
      </w:pPr>
      <w:bookmarkStart w:id="9" w:name="_Toc70607132"/>
      <w:r>
        <w:t xml:space="preserve">Table </w:t>
      </w:r>
      <w:r w:rsidR="00123C50">
        <w:fldChar w:fldCharType="begin"/>
      </w:r>
      <w:r w:rsidR="00123C50">
        <w:instrText xml:space="preserve"> SEQ Table \* ARABIC </w:instrText>
      </w:r>
      <w:r w:rsidR="00123C50">
        <w:fldChar w:fldCharType="separate"/>
      </w:r>
      <w:r w:rsidR="00123C50">
        <w:rPr>
          <w:noProof/>
        </w:rPr>
        <w:t>1</w:t>
      </w:r>
      <w:r w:rsidR="00123C50">
        <w:rPr>
          <w:noProof/>
        </w:rPr>
        <w:fldChar w:fldCharType="end"/>
      </w:r>
      <w:r>
        <w:t xml:space="preserve"> </w:t>
      </w:r>
      <w:r w:rsidRPr="005B1ED3">
        <w:t>Levels of supervision for Assessment of EPA</w:t>
      </w:r>
      <w:bookmarkEnd w:id="9"/>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1271"/>
        <w:gridCol w:w="8357"/>
      </w:tblGrid>
      <w:tr w:rsidR="003A7E3B" w:rsidRPr="003A7E3B" w14:paraId="31F047B6" w14:textId="77777777" w:rsidTr="001B3F80">
        <w:tc>
          <w:tcPr>
            <w:tcW w:w="1271" w:type="dxa"/>
            <w:shd w:val="clear" w:color="auto" w:fill="E0F4E2" w:themeFill="accent1" w:themeFillTint="33"/>
          </w:tcPr>
          <w:p w14:paraId="01F973EF" w14:textId="0E323B7D" w:rsidR="003A7E3B" w:rsidRPr="001B3F80" w:rsidRDefault="003A7E3B" w:rsidP="003A7E3B">
            <w:pPr>
              <w:spacing w:after="120" w:line="276" w:lineRule="auto"/>
              <w:rPr>
                <w:rFonts w:eastAsia="Times New Roman" w:cs="Arial"/>
                <w:b/>
                <w:bCs/>
                <w:szCs w:val="20"/>
                <w:lang w:eastAsia="en-AU"/>
              </w:rPr>
            </w:pPr>
            <w:r w:rsidRPr="001B3F80">
              <w:rPr>
                <w:rFonts w:eastAsia="Times New Roman" w:cs="Arial"/>
                <w:b/>
                <w:bCs/>
                <w:szCs w:val="20"/>
                <w:lang w:eastAsia="en-AU"/>
              </w:rPr>
              <w:t>Level 1</w:t>
            </w:r>
          </w:p>
        </w:tc>
        <w:tc>
          <w:tcPr>
            <w:tcW w:w="8357" w:type="dxa"/>
          </w:tcPr>
          <w:p w14:paraId="59E143BB" w14:textId="77777777" w:rsidR="003A7E3B" w:rsidRPr="003A7E3B" w:rsidRDefault="003A7E3B" w:rsidP="003A7E3B">
            <w:pPr>
              <w:spacing w:after="120" w:line="276" w:lineRule="auto"/>
              <w:rPr>
                <w:rFonts w:eastAsia="Times New Roman" w:cs="Arial"/>
                <w:szCs w:val="20"/>
                <w:lang w:eastAsia="en-AU"/>
              </w:rPr>
            </w:pPr>
            <w:r w:rsidRPr="003A7E3B">
              <w:rPr>
                <w:rFonts w:eastAsia="Times New Roman" w:cs="Arial"/>
                <w:szCs w:val="20"/>
                <w:lang w:eastAsia="en-AU"/>
              </w:rPr>
              <w:t>Observe only, even with direct supervision</w:t>
            </w:r>
          </w:p>
        </w:tc>
      </w:tr>
      <w:tr w:rsidR="003A7E3B" w:rsidRPr="003A7E3B" w14:paraId="0FAAC7BB" w14:textId="77777777" w:rsidTr="001B3F80">
        <w:tc>
          <w:tcPr>
            <w:tcW w:w="1271" w:type="dxa"/>
            <w:shd w:val="clear" w:color="auto" w:fill="E0F4E2" w:themeFill="accent1" w:themeFillTint="33"/>
          </w:tcPr>
          <w:p w14:paraId="69FBD560" w14:textId="77777777" w:rsidR="003A7E3B" w:rsidRPr="001B3F80" w:rsidRDefault="003A7E3B" w:rsidP="003A7E3B">
            <w:pPr>
              <w:spacing w:after="120" w:line="276" w:lineRule="auto"/>
              <w:rPr>
                <w:rFonts w:eastAsia="Times New Roman" w:cs="Arial"/>
                <w:b/>
                <w:bCs/>
                <w:szCs w:val="20"/>
                <w:lang w:eastAsia="en-AU"/>
              </w:rPr>
            </w:pPr>
            <w:r w:rsidRPr="001B3F80">
              <w:rPr>
                <w:rFonts w:eastAsia="Times New Roman" w:cs="Arial"/>
                <w:b/>
                <w:bCs/>
                <w:szCs w:val="20"/>
                <w:lang w:eastAsia="en-AU"/>
              </w:rPr>
              <w:t>Level 2</w:t>
            </w:r>
          </w:p>
        </w:tc>
        <w:tc>
          <w:tcPr>
            <w:tcW w:w="8357" w:type="dxa"/>
          </w:tcPr>
          <w:p w14:paraId="7D35AFEB" w14:textId="77777777" w:rsidR="003A7E3B" w:rsidRPr="003A7E3B" w:rsidRDefault="003A7E3B" w:rsidP="003A7E3B">
            <w:pPr>
              <w:spacing w:after="120" w:line="276" w:lineRule="auto"/>
              <w:rPr>
                <w:rFonts w:eastAsia="Times New Roman" w:cs="Arial"/>
                <w:szCs w:val="20"/>
                <w:lang w:eastAsia="en-AU"/>
              </w:rPr>
            </w:pPr>
            <w:r w:rsidRPr="003A7E3B">
              <w:rPr>
                <w:rFonts w:eastAsia="Times New Roman" w:cs="Arial"/>
                <w:szCs w:val="20"/>
                <w:lang w:eastAsia="en-AU"/>
              </w:rPr>
              <w:t>Perform with direct, proactive supervision and intervention</w:t>
            </w:r>
          </w:p>
        </w:tc>
      </w:tr>
      <w:tr w:rsidR="003A7E3B" w:rsidRPr="003A7E3B" w14:paraId="5EE18AA8" w14:textId="77777777" w:rsidTr="001B3F80">
        <w:tc>
          <w:tcPr>
            <w:tcW w:w="1271" w:type="dxa"/>
            <w:shd w:val="clear" w:color="auto" w:fill="E0F4E2" w:themeFill="accent1" w:themeFillTint="33"/>
          </w:tcPr>
          <w:p w14:paraId="25BD0011" w14:textId="77777777" w:rsidR="003A7E3B" w:rsidRPr="001B3F80" w:rsidRDefault="003A7E3B" w:rsidP="003A7E3B">
            <w:pPr>
              <w:spacing w:after="120" w:line="276" w:lineRule="auto"/>
              <w:rPr>
                <w:rFonts w:eastAsia="Times New Roman" w:cs="Arial"/>
                <w:b/>
                <w:bCs/>
                <w:szCs w:val="20"/>
                <w:lang w:eastAsia="en-AU"/>
              </w:rPr>
            </w:pPr>
            <w:r w:rsidRPr="001B3F80">
              <w:rPr>
                <w:rFonts w:eastAsia="Times New Roman" w:cs="Arial"/>
                <w:b/>
                <w:bCs/>
                <w:szCs w:val="20"/>
                <w:lang w:eastAsia="en-AU"/>
              </w:rPr>
              <w:t>Level 3</w:t>
            </w:r>
          </w:p>
        </w:tc>
        <w:tc>
          <w:tcPr>
            <w:tcW w:w="8357" w:type="dxa"/>
          </w:tcPr>
          <w:p w14:paraId="5EB84951" w14:textId="3B73F19C" w:rsidR="003A7E3B" w:rsidRPr="003A7E3B" w:rsidRDefault="003A7E3B" w:rsidP="003A7E3B">
            <w:pPr>
              <w:spacing w:after="120" w:line="276" w:lineRule="auto"/>
              <w:rPr>
                <w:rFonts w:eastAsia="Times New Roman" w:cs="Arial"/>
                <w:szCs w:val="20"/>
                <w:lang w:eastAsia="en-AU"/>
              </w:rPr>
            </w:pPr>
            <w:r w:rsidRPr="003A7E3B">
              <w:rPr>
                <w:rFonts w:eastAsia="Times New Roman" w:cs="Arial"/>
                <w:szCs w:val="20"/>
                <w:lang w:eastAsia="en-AU"/>
              </w:rPr>
              <w:t xml:space="preserve">Perform with </w:t>
            </w:r>
            <w:r w:rsidR="00C74A85">
              <w:rPr>
                <w:rFonts w:eastAsia="Times New Roman" w:cs="Arial"/>
                <w:szCs w:val="20"/>
                <w:lang w:eastAsia="en-AU"/>
              </w:rPr>
              <w:t xml:space="preserve">indirect </w:t>
            </w:r>
            <w:r w:rsidR="007E3B16">
              <w:rPr>
                <w:rFonts w:eastAsia="Times New Roman" w:cs="Arial"/>
                <w:szCs w:val="20"/>
                <w:lang w:eastAsia="en-AU"/>
              </w:rPr>
              <w:t>proximal</w:t>
            </w:r>
            <w:r w:rsidR="008D5669">
              <w:rPr>
                <w:rFonts w:eastAsia="Times New Roman" w:cs="Arial"/>
                <w:szCs w:val="20"/>
                <w:lang w:eastAsia="en-AU"/>
              </w:rPr>
              <w:t xml:space="preserve"> (nearby)</w:t>
            </w:r>
            <w:r w:rsidR="007E3B16">
              <w:rPr>
                <w:rFonts w:eastAsia="Times New Roman" w:cs="Arial"/>
                <w:szCs w:val="20"/>
                <w:lang w:eastAsia="en-AU"/>
              </w:rPr>
              <w:t xml:space="preserve"> </w:t>
            </w:r>
            <w:r w:rsidRPr="003A7E3B">
              <w:rPr>
                <w:rFonts w:eastAsia="Times New Roman" w:cs="Arial"/>
                <w:szCs w:val="20"/>
                <w:lang w:eastAsia="en-AU"/>
              </w:rPr>
              <w:t>supervision</w:t>
            </w:r>
            <w:r w:rsidR="00C74A85">
              <w:rPr>
                <w:rFonts w:eastAsia="Times New Roman" w:cs="Arial"/>
                <w:szCs w:val="20"/>
                <w:lang w:eastAsia="en-AU"/>
              </w:rPr>
              <w:t>,</w:t>
            </w:r>
            <w:r w:rsidRPr="003A7E3B">
              <w:rPr>
                <w:rFonts w:eastAsia="Times New Roman" w:cs="Arial"/>
                <w:szCs w:val="20"/>
                <w:lang w:eastAsia="en-AU"/>
              </w:rPr>
              <w:t xml:space="preserve"> on request and quickly available</w:t>
            </w:r>
          </w:p>
        </w:tc>
      </w:tr>
      <w:tr w:rsidR="003A7E3B" w:rsidRPr="003A7E3B" w14:paraId="5DC8FDA3" w14:textId="77777777" w:rsidTr="001B3F80">
        <w:tc>
          <w:tcPr>
            <w:tcW w:w="1271" w:type="dxa"/>
            <w:shd w:val="clear" w:color="auto" w:fill="E0F4E2" w:themeFill="accent1" w:themeFillTint="33"/>
          </w:tcPr>
          <w:p w14:paraId="0D912DE5" w14:textId="77777777" w:rsidR="003A7E3B" w:rsidRPr="001B3F80" w:rsidRDefault="003A7E3B" w:rsidP="003A7E3B">
            <w:pPr>
              <w:spacing w:after="120" w:line="276" w:lineRule="auto"/>
              <w:rPr>
                <w:rFonts w:eastAsia="Times New Roman" w:cs="Arial"/>
                <w:b/>
                <w:bCs/>
                <w:szCs w:val="20"/>
                <w:lang w:eastAsia="en-AU"/>
              </w:rPr>
            </w:pPr>
            <w:r w:rsidRPr="001B3F80">
              <w:rPr>
                <w:rFonts w:eastAsia="Times New Roman" w:cs="Arial"/>
                <w:b/>
                <w:bCs/>
                <w:szCs w:val="20"/>
                <w:lang w:eastAsia="en-AU"/>
              </w:rPr>
              <w:t>Level 4</w:t>
            </w:r>
          </w:p>
        </w:tc>
        <w:tc>
          <w:tcPr>
            <w:tcW w:w="8357" w:type="dxa"/>
          </w:tcPr>
          <w:p w14:paraId="159A5C06" w14:textId="5AFC8967" w:rsidR="003A7E3B" w:rsidRPr="003A7E3B" w:rsidRDefault="00C74A85" w:rsidP="003A7E3B">
            <w:pPr>
              <w:spacing w:after="120" w:line="276" w:lineRule="auto"/>
              <w:rPr>
                <w:rFonts w:eastAsia="Times New Roman" w:cs="Arial"/>
                <w:szCs w:val="20"/>
                <w:lang w:eastAsia="en-AU"/>
              </w:rPr>
            </w:pPr>
            <w:r>
              <w:rPr>
                <w:rFonts w:eastAsia="Times New Roman" w:cs="Arial"/>
                <w:szCs w:val="20"/>
                <w:lang w:eastAsia="en-AU"/>
              </w:rPr>
              <w:t xml:space="preserve">Perform with </w:t>
            </w:r>
            <w:r w:rsidR="007E3B16">
              <w:rPr>
                <w:rFonts w:eastAsia="Times New Roman" w:cs="Arial"/>
                <w:szCs w:val="20"/>
                <w:lang w:eastAsia="en-AU"/>
              </w:rPr>
              <w:t xml:space="preserve">minimal </w:t>
            </w:r>
            <w:r>
              <w:rPr>
                <w:rFonts w:eastAsia="Times New Roman" w:cs="Arial"/>
                <w:szCs w:val="20"/>
                <w:lang w:eastAsia="en-AU"/>
              </w:rPr>
              <w:t>supervision,</w:t>
            </w:r>
            <w:r w:rsidR="00BD1058">
              <w:rPr>
                <w:rFonts w:eastAsia="Times New Roman" w:cs="Arial"/>
                <w:szCs w:val="20"/>
                <w:lang w:eastAsia="en-AU"/>
              </w:rPr>
              <w:t xml:space="preserve"> </w:t>
            </w:r>
            <w:r w:rsidR="007E4F47">
              <w:rPr>
                <w:rFonts w:eastAsia="Times New Roman" w:cs="Arial"/>
                <w:szCs w:val="20"/>
                <w:lang w:eastAsia="en-AU"/>
              </w:rPr>
              <w:t xml:space="preserve">available if needed, </w:t>
            </w:r>
            <w:r w:rsidR="00BD1058">
              <w:rPr>
                <w:rFonts w:eastAsia="Times New Roman" w:cs="Arial"/>
                <w:szCs w:val="20"/>
                <w:lang w:eastAsia="en-AU"/>
              </w:rPr>
              <w:t>essentially independent performance</w:t>
            </w:r>
            <w:r w:rsidR="00930F5E">
              <w:rPr>
                <w:rFonts w:eastAsia="Times New Roman" w:cs="Arial"/>
                <w:szCs w:val="20"/>
                <w:lang w:eastAsia="en-AU"/>
              </w:rPr>
              <w:t xml:space="preserve"> </w:t>
            </w:r>
          </w:p>
        </w:tc>
      </w:tr>
    </w:tbl>
    <w:p w14:paraId="757EFC8A" w14:textId="3D4B5372" w:rsidR="000642CC" w:rsidRPr="000D6628" w:rsidRDefault="000642CC" w:rsidP="000D6628">
      <w:pPr>
        <w:pStyle w:val="Heading1"/>
        <w:rPr>
          <w:rFonts w:eastAsia="Times New Roman"/>
          <w:lang w:eastAsia="en-AU"/>
        </w:rPr>
      </w:pPr>
      <w:bookmarkStart w:id="10" w:name="_Toc70607187"/>
      <w:r w:rsidRPr="000D6628">
        <w:rPr>
          <w:rFonts w:eastAsia="Times New Roman"/>
          <w:lang w:eastAsia="en-AU"/>
        </w:rPr>
        <w:t xml:space="preserve">Legal requirement for supervision of </w:t>
      </w:r>
      <w:r w:rsidR="006D7677">
        <w:rPr>
          <w:rFonts w:eastAsia="Times New Roman"/>
          <w:lang w:eastAsia="en-AU"/>
        </w:rPr>
        <w:t>i</w:t>
      </w:r>
      <w:r w:rsidRPr="000D6628">
        <w:rPr>
          <w:rFonts w:eastAsia="Times New Roman"/>
          <w:lang w:eastAsia="en-AU"/>
        </w:rPr>
        <w:t>nterns</w:t>
      </w:r>
      <w:bookmarkEnd w:id="10"/>
    </w:p>
    <w:p w14:paraId="0B0ECDBA" w14:textId="6EEC8BA4" w:rsidR="00C74A85" w:rsidRDefault="003A7E3B" w:rsidP="003A7E3B">
      <w:pPr>
        <w:rPr>
          <w:rFonts w:eastAsia="Times New Roman" w:cs="Arial"/>
          <w:szCs w:val="20"/>
          <w:lang w:eastAsia="en-AU"/>
        </w:rPr>
      </w:pPr>
      <w:r w:rsidRPr="003A7E3B">
        <w:rPr>
          <w:rFonts w:eastAsia="Times New Roman" w:cs="Arial"/>
          <w:szCs w:val="20"/>
          <w:lang w:eastAsia="en-AU"/>
        </w:rPr>
        <w:t>Granting general registration to a pharmacist indicates that the individual is now able to practice without supervision, which equates to level 4 entrustment. It is therefore expected that interns will be</w:t>
      </w:r>
      <w:r w:rsidR="00EB787F">
        <w:rPr>
          <w:rFonts w:eastAsia="Times New Roman" w:cs="Arial"/>
          <w:szCs w:val="20"/>
          <w:lang w:eastAsia="en-AU"/>
        </w:rPr>
        <w:t>come</w:t>
      </w:r>
      <w:r w:rsidRPr="003A7E3B">
        <w:rPr>
          <w:rFonts w:eastAsia="Times New Roman" w:cs="Arial"/>
          <w:szCs w:val="20"/>
          <w:lang w:eastAsia="en-AU"/>
        </w:rPr>
        <w:t xml:space="preserve"> entrust</w:t>
      </w:r>
      <w:r w:rsidR="00EB787F">
        <w:rPr>
          <w:rFonts w:eastAsia="Times New Roman" w:cs="Arial"/>
          <w:szCs w:val="20"/>
          <w:lang w:eastAsia="en-AU"/>
        </w:rPr>
        <w:t>able</w:t>
      </w:r>
      <w:r w:rsidRPr="003A7E3B">
        <w:rPr>
          <w:rFonts w:eastAsia="Times New Roman" w:cs="Arial"/>
          <w:szCs w:val="20"/>
          <w:lang w:eastAsia="en-AU"/>
        </w:rPr>
        <w:t xml:space="preserve"> at that level at some point in the intern </w:t>
      </w:r>
      <w:r w:rsidR="00C31FCE" w:rsidRPr="003A7E3B">
        <w:rPr>
          <w:rFonts w:eastAsia="Times New Roman" w:cs="Arial"/>
          <w:szCs w:val="20"/>
          <w:lang w:eastAsia="en-AU"/>
        </w:rPr>
        <w:t>year before</w:t>
      </w:r>
      <w:r w:rsidRPr="003A7E3B">
        <w:rPr>
          <w:rFonts w:eastAsia="Times New Roman" w:cs="Arial"/>
          <w:szCs w:val="20"/>
          <w:lang w:eastAsia="en-AU"/>
        </w:rPr>
        <w:t xml:space="preserve"> general registration is granted.</w:t>
      </w:r>
      <w:r w:rsidR="00BD1058">
        <w:rPr>
          <w:rFonts w:eastAsia="Times New Roman" w:cs="Arial"/>
          <w:szCs w:val="20"/>
          <w:lang w:eastAsia="en-AU"/>
        </w:rPr>
        <w:t xml:space="preserve"> </w:t>
      </w:r>
    </w:p>
    <w:p w14:paraId="118212D9" w14:textId="1594BBA2" w:rsidR="003A7E3B" w:rsidRDefault="00BD1058" w:rsidP="003A7E3B">
      <w:pPr>
        <w:rPr>
          <w:rFonts w:eastAsia="Times New Roman" w:cs="Arial"/>
          <w:szCs w:val="20"/>
          <w:lang w:eastAsia="en-AU"/>
        </w:rPr>
      </w:pPr>
      <w:r>
        <w:rPr>
          <w:rFonts w:cs="Arial"/>
          <w:szCs w:val="20"/>
          <w:lang w:val="en-US"/>
        </w:rPr>
        <w:t xml:space="preserve">It is </w:t>
      </w:r>
      <w:r w:rsidR="007E4F47">
        <w:rPr>
          <w:rFonts w:cs="Arial"/>
          <w:szCs w:val="20"/>
          <w:lang w:val="en-US"/>
        </w:rPr>
        <w:t xml:space="preserve">critical </w:t>
      </w:r>
      <w:r>
        <w:rPr>
          <w:rFonts w:cs="Arial"/>
          <w:szCs w:val="20"/>
          <w:lang w:val="en-US"/>
        </w:rPr>
        <w:t xml:space="preserve">to note, however, that even when an intern has been </w:t>
      </w:r>
      <w:r w:rsidR="00EB787F">
        <w:rPr>
          <w:rFonts w:cs="Arial"/>
          <w:szCs w:val="20"/>
          <w:lang w:val="en-US"/>
        </w:rPr>
        <w:t>deemed</w:t>
      </w:r>
      <w:r w:rsidR="00882C7E">
        <w:rPr>
          <w:rFonts w:cs="Arial"/>
          <w:szCs w:val="20"/>
          <w:lang w:val="en-US"/>
        </w:rPr>
        <w:t xml:space="preserve"> entrustable </w:t>
      </w:r>
      <w:r>
        <w:rPr>
          <w:rFonts w:cs="Arial"/>
          <w:szCs w:val="20"/>
          <w:lang w:val="en-US"/>
        </w:rPr>
        <w:t>at level 4, the Pharmacy Board requirements for supervision while the intern is provisionally registered still apply.</w:t>
      </w:r>
      <w:r>
        <w:rPr>
          <w:rFonts w:eastAsia="Times New Roman" w:cs="Arial"/>
          <w:szCs w:val="20"/>
          <w:lang w:eastAsia="en-AU"/>
        </w:rPr>
        <w:t xml:space="preserve"> </w:t>
      </w:r>
      <w:r w:rsidR="00882C7E">
        <w:rPr>
          <w:rFonts w:eastAsia="Times New Roman" w:cs="Arial"/>
          <w:szCs w:val="20"/>
          <w:lang w:eastAsia="en-AU"/>
        </w:rPr>
        <w:t>In addition, a</w:t>
      </w:r>
      <w:r w:rsidR="007E4F47">
        <w:rPr>
          <w:rFonts w:eastAsia="Times New Roman" w:cs="Arial"/>
          <w:szCs w:val="20"/>
          <w:lang w:eastAsia="en-AU"/>
        </w:rPr>
        <w:t>t least one pharmacist with general registration must be physically present on the premises in accordance with legal requirements under the Health Practitioner Regulation National Law.</w:t>
      </w:r>
    </w:p>
    <w:p w14:paraId="7C7BCF7C" w14:textId="4F9EAE94" w:rsidR="007E4F47" w:rsidRPr="003A7E3B" w:rsidRDefault="007E4F47" w:rsidP="003A7E3B">
      <w:pPr>
        <w:rPr>
          <w:rFonts w:eastAsia="Times New Roman" w:cs="Arial"/>
          <w:szCs w:val="20"/>
          <w:lang w:eastAsia="en-AU"/>
        </w:rPr>
      </w:pPr>
      <w:r>
        <w:rPr>
          <w:rFonts w:eastAsia="Times New Roman" w:cs="Arial"/>
          <w:szCs w:val="20"/>
          <w:lang w:eastAsia="en-AU"/>
        </w:rPr>
        <w:lastRenderedPageBreak/>
        <w:t xml:space="preserve">From a practical perspective, within the individual workplace, supervisors may identify that an intern is entrustable at level </w:t>
      </w:r>
      <w:proofErr w:type="gramStart"/>
      <w:r>
        <w:rPr>
          <w:rFonts w:eastAsia="Times New Roman" w:cs="Arial"/>
          <w:szCs w:val="20"/>
          <w:lang w:eastAsia="en-AU"/>
        </w:rPr>
        <w:t>4, but</w:t>
      </w:r>
      <w:proofErr w:type="gramEnd"/>
      <w:r>
        <w:rPr>
          <w:rFonts w:eastAsia="Times New Roman" w:cs="Arial"/>
          <w:szCs w:val="20"/>
          <w:lang w:eastAsia="en-AU"/>
        </w:rPr>
        <w:t xml:space="preserve"> should still ensure that their work is adequately checked. This may entail allowing the intern to carry out the activity </w:t>
      </w:r>
      <w:proofErr w:type="gramStart"/>
      <w:r>
        <w:rPr>
          <w:rFonts w:eastAsia="Times New Roman" w:cs="Arial"/>
          <w:szCs w:val="20"/>
          <w:lang w:eastAsia="en-AU"/>
        </w:rPr>
        <w:t>independently, but</w:t>
      </w:r>
      <w:proofErr w:type="gramEnd"/>
      <w:r>
        <w:rPr>
          <w:rFonts w:eastAsia="Times New Roman" w:cs="Arial"/>
          <w:szCs w:val="20"/>
          <w:lang w:eastAsia="en-AU"/>
        </w:rPr>
        <w:t xml:space="preserve"> putting measures in place to </w:t>
      </w:r>
      <w:r w:rsidR="000204EF">
        <w:rPr>
          <w:rFonts w:eastAsia="Times New Roman" w:cs="Arial"/>
          <w:szCs w:val="20"/>
          <w:lang w:eastAsia="en-AU"/>
        </w:rPr>
        <w:t>require an independent verification of accuracy and appropriateness. As an example, an intern may carry out the dispensing process (EPA 1) with little supervision, but a final check is carried out by a generally registered pharmacist before supplying to the patient. Supervisors will need to balance the level of supervision that is required by the intern</w:t>
      </w:r>
      <w:r w:rsidR="00643E0C">
        <w:rPr>
          <w:rFonts w:eastAsia="Times New Roman" w:cs="Arial"/>
          <w:szCs w:val="20"/>
          <w:lang w:eastAsia="en-AU"/>
        </w:rPr>
        <w:t>,</w:t>
      </w:r>
      <w:r w:rsidR="000204EF">
        <w:rPr>
          <w:rFonts w:eastAsia="Times New Roman" w:cs="Arial"/>
          <w:szCs w:val="20"/>
          <w:lang w:eastAsia="en-AU"/>
        </w:rPr>
        <w:t xml:space="preserve"> with the </w:t>
      </w:r>
      <w:r w:rsidR="00F33513">
        <w:rPr>
          <w:rFonts w:eastAsia="Times New Roman" w:cs="Arial"/>
          <w:szCs w:val="20"/>
          <w:lang w:eastAsia="en-AU"/>
        </w:rPr>
        <w:t xml:space="preserve">legal </w:t>
      </w:r>
      <w:r w:rsidR="00806574">
        <w:rPr>
          <w:rFonts w:eastAsia="Times New Roman" w:cs="Arial"/>
          <w:szCs w:val="20"/>
          <w:lang w:eastAsia="en-AU"/>
        </w:rPr>
        <w:t xml:space="preserve">requirement </w:t>
      </w:r>
      <w:r w:rsidR="000204EF">
        <w:rPr>
          <w:rFonts w:eastAsia="Times New Roman" w:cs="Arial"/>
          <w:szCs w:val="20"/>
          <w:lang w:eastAsia="en-AU"/>
        </w:rPr>
        <w:t xml:space="preserve">of the supervisor to ensure accountability and patient safety. </w:t>
      </w:r>
    </w:p>
    <w:p w14:paraId="652363AA" w14:textId="2A7BB57A" w:rsidR="003A7E3B" w:rsidRPr="008C1C49" w:rsidRDefault="003A7E3B" w:rsidP="00B20842">
      <w:pPr>
        <w:pStyle w:val="Heading1"/>
        <w:rPr>
          <w:lang w:val="en-US"/>
        </w:rPr>
      </w:pPr>
      <w:bookmarkStart w:id="11" w:name="_Toc70607188"/>
      <w:r w:rsidRPr="008C1C49">
        <w:rPr>
          <w:lang w:val="en-US"/>
        </w:rPr>
        <w:t>Components of an EPA</w:t>
      </w:r>
      <w:bookmarkEnd w:id="11"/>
    </w:p>
    <w:p w14:paraId="19B34CFF" w14:textId="77777777" w:rsidR="003A7E3B" w:rsidRPr="003A7E3B" w:rsidRDefault="003A7E3B" w:rsidP="003A7E3B">
      <w:pPr>
        <w:rPr>
          <w:rFonts w:cs="Arial"/>
          <w:szCs w:val="20"/>
          <w:lang w:val="en-US"/>
        </w:rPr>
      </w:pPr>
      <w:r w:rsidRPr="003A7E3B">
        <w:rPr>
          <w:rFonts w:cs="Arial"/>
          <w:szCs w:val="20"/>
          <w:lang w:val="en-US"/>
        </w:rPr>
        <w:t>As described by ten Cate and Taylor (2020), an EPA comprises eight components which are elaborated in the table below.</w:t>
      </w:r>
    </w:p>
    <w:p w14:paraId="29A1BCE7" w14:textId="65627102" w:rsidR="00C5745E" w:rsidRDefault="00C5745E" w:rsidP="00C5745E">
      <w:pPr>
        <w:pStyle w:val="Caption"/>
        <w:keepNext/>
      </w:pPr>
      <w:bookmarkStart w:id="12" w:name="_Toc70607133"/>
      <w:r>
        <w:t xml:space="preserve">Table </w:t>
      </w:r>
      <w:r w:rsidR="00123C50">
        <w:fldChar w:fldCharType="begin"/>
      </w:r>
      <w:r w:rsidR="00123C50">
        <w:instrText xml:space="preserve"> SEQ Table \* ARABIC </w:instrText>
      </w:r>
      <w:r w:rsidR="00123C50">
        <w:fldChar w:fldCharType="separate"/>
      </w:r>
      <w:r w:rsidR="00123C50">
        <w:rPr>
          <w:noProof/>
        </w:rPr>
        <w:t>2</w:t>
      </w:r>
      <w:r w:rsidR="00123C50">
        <w:rPr>
          <w:noProof/>
        </w:rPr>
        <w:fldChar w:fldCharType="end"/>
      </w:r>
      <w:r>
        <w:t xml:space="preserve"> </w:t>
      </w:r>
      <w:r w:rsidRPr="0055290F">
        <w:t>Eight components of an EPA</w:t>
      </w:r>
      <w:bookmarkEnd w:id="12"/>
    </w:p>
    <w:tbl>
      <w:tblPr>
        <w:tblStyle w:val="TableGrid"/>
        <w:tblW w:w="0" w:type="auto"/>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Look w:val="04A0" w:firstRow="1" w:lastRow="0" w:firstColumn="1" w:lastColumn="0" w:noHBand="0" w:noVBand="1"/>
      </w:tblPr>
      <w:tblGrid>
        <w:gridCol w:w="3114"/>
        <w:gridCol w:w="6514"/>
      </w:tblGrid>
      <w:tr w:rsidR="003A7E3B" w:rsidRPr="003A7E3B" w14:paraId="0A72B06B" w14:textId="77777777" w:rsidTr="001B3F80">
        <w:trPr>
          <w:cantSplit/>
        </w:trPr>
        <w:tc>
          <w:tcPr>
            <w:tcW w:w="3114" w:type="dxa"/>
            <w:shd w:val="clear" w:color="auto" w:fill="E0F4E2" w:themeFill="accent1" w:themeFillTint="33"/>
          </w:tcPr>
          <w:p w14:paraId="4FA15081" w14:textId="77777777" w:rsidR="003A7E3B" w:rsidRPr="003A7E3B" w:rsidRDefault="003A7E3B" w:rsidP="003A7E3B">
            <w:pPr>
              <w:spacing w:after="120" w:line="276" w:lineRule="auto"/>
              <w:rPr>
                <w:rFonts w:cs="Arial"/>
                <w:b/>
                <w:szCs w:val="20"/>
                <w:lang w:val="en-US"/>
              </w:rPr>
            </w:pPr>
            <w:r w:rsidRPr="003A7E3B">
              <w:rPr>
                <w:rFonts w:cs="Arial"/>
                <w:b/>
                <w:szCs w:val="20"/>
                <w:lang w:val="en-US"/>
              </w:rPr>
              <w:t>Title</w:t>
            </w:r>
          </w:p>
        </w:tc>
        <w:tc>
          <w:tcPr>
            <w:tcW w:w="6514" w:type="dxa"/>
          </w:tcPr>
          <w:p w14:paraId="7A9A3F13" w14:textId="77777777" w:rsidR="003A7E3B" w:rsidRPr="003A7E3B" w:rsidRDefault="003A7E3B" w:rsidP="003A7E3B">
            <w:pPr>
              <w:spacing w:after="120" w:line="276" w:lineRule="auto"/>
              <w:rPr>
                <w:rFonts w:cs="Arial"/>
                <w:szCs w:val="20"/>
                <w:lang w:val="en-US"/>
              </w:rPr>
            </w:pPr>
            <w:r w:rsidRPr="003A7E3B">
              <w:rPr>
                <w:rFonts w:cs="Arial"/>
                <w:szCs w:val="20"/>
                <w:lang w:val="en-US"/>
              </w:rPr>
              <w:t xml:space="preserve">This describes the activity, not how or where it is carried out. It should be succinct, </w:t>
            </w:r>
            <w:proofErr w:type="gramStart"/>
            <w:r w:rsidRPr="003A7E3B">
              <w:rPr>
                <w:rFonts w:cs="Arial"/>
                <w:szCs w:val="20"/>
                <w:lang w:val="en-US"/>
              </w:rPr>
              <w:t>intuitive</w:t>
            </w:r>
            <w:proofErr w:type="gramEnd"/>
            <w:r w:rsidRPr="003A7E3B">
              <w:rPr>
                <w:rFonts w:cs="Arial"/>
                <w:szCs w:val="20"/>
                <w:lang w:val="en-US"/>
              </w:rPr>
              <w:t xml:space="preserve"> and general.</w:t>
            </w:r>
          </w:p>
        </w:tc>
      </w:tr>
      <w:tr w:rsidR="003A7E3B" w:rsidRPr="003A7E3B" w14:paraId="63DD9032" w14:textId="77777777" w:rsidTr="001B3F80">
        <w:trPr>
          <w:cantSplit/>
        </w:trPr>
        <w:tc>
          <w:tcPr>
            <w:tcW w:w="3114" w:type="dxa"/>
            <w:shd w:val="clear" w:color="auto" w:fill="E0F4E2" w:themeFill="accent1" w:themeFillTint="33"/>
          </w:tcPr>
          <w:p w14:paraId="6CE6BDBA" w14:textId="77777777" w:rsidR="003A7E3B" w:rsidRPr="003A7E3B" w:rsidRDefault="003A7E3B" w:rsidP="003A7E3B">
            <w:pPr>
              <w:spacing w:after="120" w:line="276" w:lineRule="auto"/>
              <w:rPr>
                <w:rFonts w:cs="Arial"/>
                <w:b/>
                <w:szCs w:val="20"/>
                <w:lang w:val="en-US"/>
              </w:rPr>
            </w:pPr>
            <w:r w:rsidRPr="003A7E3B">
              <w:rPr>
                <w:rFonts w:cs="Arial"/>
                <w:b/>
                <w:szCs w:val="20"/>
                <w:lang w:val="en-US"/>
              </w:rPr>
              <w:t>Specifications and limitations</w:t>
            </w:r>
          </w:p>
        </w:tc>
        <w:tc>
          <w:tcPr>
            <w:tcW w:w="6514" w:type="dxa"/>
          </w:tcPr>
          <w:p w14:paraId="6B0985FF" w14:textId="77777777" w:rsidR="003A7E3B" w:rsidRPr="003A7E3B" w:rsidRDefault="003A7E3B" w:rsidP="003A7E3B">
            <w:pPr>
              <w:spacing w:after="120" w:line="276" w:lineRule="auto"/>
              <w:rPr>
                <w:rFonts w:cs="Arial"/>
                <w:szCs w:val="20"/>
                <w:lang w:val="en-US"/>
              </w:rPr>
            </w:pPr>
            <w:r w:rsidRPr="003A7E3B">
              <w:rPr>
                <w:rFonts w:cs="Arial"/>
                <w:i/>
                <w:szCs w:val="20"/>
                <w:lang w:val="en-US"/>
              </w:rPr>
              <w:t>Specifications</w:t>
            </w:r>
            <w:r w:rsidRPr="003A7E3B">
              <w:rPr>
                <w:rFonts w:cs="Arial"/>
                <w:szCs w:val="20"/>
                <w:lang w:val="en-US"/>
              </w:rPr>
              <w:t xml:space="preserve"> outline the details and breadth of the </w:t>
            </w:r>
            <w:proofErr w:type="gramStart"/>
            <w:r w:rsidRPr="003A7E3B">
              <w:rPr>
                <w:rFonts w:cs="Arial"/>
                <w:szCs w:val="20"/>
                <w:lang w:val="en-US"/>
              </w:rPr>
              <w:t>activity, and</w:t>
            </w:r>
            <w:proofErr w:type="gramEnd"/>
            <w:r w:rsidRPr="003A7E3B">
              <w:rPr>
                <w:rFonts w:cs="Arial"/>
                <w:szCs w:val="20"/>
                <w:lang w:val="en-US"/>
              </w:rPr>
              <w:t xml:space="preserve"> create the framework for consistent interpretation of what is required in the performance of the activity. The aim is to generate a shared understanding between all participants (regulators, preceptors, interns, curriculum designers, other health care professionals, patients, carers </w:t>
            </w:r>
            <w:proofErr w:type="spellStart"/>
            <w:r w:rsidRPr="003A7E3B">
              <w:rPr>
                <w:rFonts w:cs="Arial"/>
                <w:szCs w:val="20"/>
                <w:lang w:val="en-US"/>
              </w:rPr>
              <w:t>etc</w:t>
            </w:r>
            <w:proofErr w:type="spellEnd"/>
            <w:r w:rsidRPr="003A7E3B">
              <w:rPr>
                <w:rFonts w:cs="Arial"/>
                <w:szCs w:val="20"/>
                <w:lang w:val="en-US"/>
              </w:rPr>
              <w:t>) of what is encompassed by the EPA.</w:t>
            </w:r>
          </w:p>
          <w:p w14:paraId="67668A89" w14:textId="77777777" w:rsidR="003A7E3B" w:rsidRPr="003A7E3B" w:rsidRDefault="003A7E3B" w:rsidP="003A7E3B">
            <w:pPr>
              <w:spacing w:after="120" w:line="276" w:lineRule="auto"/>
              <w:rPr>
                <w:rFonts w:cs="Arial"/>
                <w:szCs w:val="20"/>
                <w:lang w:val="en-US"/>
              </w:rPr>
            </w:pPr>
            <w:r w:rsidRPr="003A7E3B">
              <w:rPr>
                <w:rFonts w:cs="Arial"/>
                <w:i/>
                <w:szCs w:val="20"/>
                <w:lang w:val="en-US"/>
              </w:rPr>
              <w:t>Limitations</w:t>
            </w:r>
            <w:r w:rsidRPr="003A7E3B">
              <w:rPr>
                <w:rFonts w:cs="Arial"/>
                <w:szCs w:val="20"/>
                <w:lang w:val="en-US"/>
              </w:rPr>
              <w:t xml:space="preserve"> set the boundaries for the scope of the EPA – where and when it cannot be performed, based on the complexity of the activity and the qualifications of the intern. For example, an intern may be qualified to perform simple compounding but not complex compounding; or an intern may not be qualified to provide advice to patients where particular communication barriers exist. </w:t>
            </w:r>
          </w:p>
        </w:tc>
      </w:tr>
      <w:tr w:rsidR="003A7E3B" w:rsidRPr="003A7E3B" w14:paraId="4BFB4FB6" w14:textId="77777777" w:rsidTr="001B3F80">
        <w:trPr>
          <w:cantSplit/>
        </w:trPr>
        <w:tc>
          <w:tcPr>
            <w:tcW w:w="3114" w:type="dxa"/>
            <w:shd w:val="clear" w:color="auto" w:fill="E0F4E2" w:themeFill="accent1" w:themeFillTint="33"/>
          </w:tcPr>
          <w:p w14:paraId="45F1B39E" w14:textId="77777777" w:rsidR="003A7E3B" w:rsidRPr="003A7E3B" w:rsidRDefault="003A7E3B" w:rsidP="003A7E3B">
            <w:pPr>
              <w:spacing w:after="120" w:line="276" w:lineRule="auto"/>
              <w:rPr>
                <w:rFonts w:cs="Arial"/>
                <w:b/>
                <w:szCs w:val="20"/>
                <w:lang w:val="en-US"/>
              </w:rPr>
            </w:pPr>
            <w:r w:rsidRPr="003A7E3B">
              <w:rPr>
                <w:rFonts w:cs="Arial"/>
                <w:b/>
                <w:szCs w:val="20"/>
                <w:lang w:val="en-US"/>
              </w:rPr>
              <w:t>Potential risks in case of failure</w:t>
            </w:r>
          </w:p>
        </w:tc>
        <w:tc>
          <w:tcPr>
            <w:tcW w:w="6514" w:type="dxa"/>
          </w:tcPr>
          <w:p w14:paraId="64848BFD" w14:textId="77777777" w:rsidR="003A7E3B" w:rsidRPr="003A7E3B" w:rsidRDefault="003A7E3B" w:rsidP="003A7E3B">
            <w:pPr>
              <w:spacing w:after="120" w:line="276" w:lineRule="auto"/>
              <w:rPr>
                <w:rFonts w:cs="Arial"/>
                <w:szCs w:val="20"/>
                <w:lang w:val="en-US"/>
              </w:rPr>
            </w:pPr>
            <w:r w:rsidRPr="003A7E3B">
              <w:rPr>
                <w:rFonts w:cs="Arial"/>
                <w:szCs w:val="20"/>
                <w:lang w:val="en-US"/>
              </w:rPr>
              <w:t xml:space="preserve">Since the outcome of the assessment of an EPA is a decision to award trust, there are inherent associated risks which must be considered and clearly articulated. Risks are adverse outcomes which could arise from poor performance of the </w:t>
            </w:r>
            <w:proofErr w:type="gramStart"/>
            <w:r w:rsidRPr="003A7E3B">
              <w:rPr>
                <w:rFonts w:cs="Arial"/>
                <w:szCs w:val="20"/>
                <w:lang w:val="en-US"/>
              </w:rPr>
              <w:t>EPA, and</w:t>
            </w:r>
            <w:proofErr w:type="gramEnd"/>
            <w:r w:rsidRPr="003A7E3B">
              <w:rPr>
                <w:rFonts w:cs="Arial"/>
                <w:szCs w:val="20"/>
                <w:lang w:val="en-US"/>
              </w:rPr>
              <w:t xml:space="preserve"> include risks to the health and safety of patients and other persons in addition to other potential adverse effects.</w:t>
            </w:r>
          </w:p>
        </w:tc>
      </w:tr>
      <w:tr w:rsidR="003A7E3B" w:rsidRPr="003A7E3B" w14:paraId="5D0DBC6E" w14:textId="77777777" w:rsidTr="001B3F80">
        <w:trPr>
          <w:cantSplit/>
        </w:trPr>
        <w:tc>
          <w:tcPr>
            <w:tcW w:w="3114" w:type="dxa"/>
            <w:shd w:val="clear" w:color="auto" w:fill="E0F4E2" w:themeFill="accent1" w:themeFillTint="33"/>
          </w:tcPr>
          <w:p w14:paraId="032DDB0D" w14:textId="77777777" w:rsidR="003A7E3B" w:rsidRPr="003A7E3B" w:rsidRDefault="003A7E3B" w:rsidP="003A7E3B">
            <w:pPr>
              <w:spacing w:after="120" w:line="276" w:lineRule="auto"/>
              <w:rPr>
                <w:rFonts w:cs="Arial"/>
                <w:b/>
                <w:szCs w:val="20"/>
                <w:lang w:val="en-US"/>
              </w:rPr>
            </w:pPr>
            <w:r w:rsidRPr="003A7E3B">
              <w:rPr>
                <w:rFonts w:cs="Arial"/>
                <w:b/>
                <w:szCs w:val="20"/>
                <w:lang w:val="en-US"/>
              </w:rPr>
              <w:t>Most relevant performance outcomes*</w:t>
            </w:r>
          </w:p>
        </w:tc>
        <w:tc>
          <w:tcPr>
            <w:tcW w:w="6514" w:type="dxa"/>
          </w:tcPr>
          <w:p w14:paraId="113944B6" w14:textId="77777777" w:rsidR="003A7E3B" w:rsidRPr="003A7E3B" w:rsidRDefault="003A7E3B" w:rsidP="003A7E3B">
            <w:pPr>
              <w:spacing w:after="120" w:line="276" w:lineRule="auto"/>
              <w:rPr>
                <w:rFonts w:cs="Arial"/>
                <w:szCs w:val="20"/>
                <w:lang w:val="en-US"/>
              </w:rPr>
            </w:pPr>
            <w:r w:rsidRPr="003A7E3B">
              <w:rPr>
                <w:rFonts w:cs="Arial"/>
                <w:szCs w:val="20"/>
                <w:lang w:val="en-US"/>
              </w:rPr>
              <w:t xml:space="preserve">This identifies the critical performance outcome or outcomes from the APC </w:t>
            </w:r>
            <w:r w:rsidRPr="00BE7629">
              <w:rPr>
                <w:rFonts w:cs="Arial"/>
                <w:iCs/>
                <w:szCs w:val="20"/>
                <w:lang w:val="en-US"/>
              </w:rPr>
              <w:t>Performance Outcomes Framework</w:t>
            </w:r>
            <w:r w:rsidRPr="003A7E3B">
              <w:rPr>
                <w:rFonts w:cs="Arial"/>
                <w:szCs w:val="20"/>
                <w:lang w:val="en-US"/>
              </w:rPr>
              <w:t>. It is not necessary to include all performance outcomes which may be relevant to some parts of the activity only.</w:t>
            </w:r>
          </w:p>
        </w:tc>
      </w:tr>
      <w:tr w:rsidR="003A7E3B" w:rsidRPr="003A7E3B" w14:paraId="56CF644D" w14:textId="77777777" w:rsidTr="001B3F80">
        <w:trPr>
          <w:cantSplit/>
        </w:trPr>
        <w:tc>
          <w:tcPr>
            <w:tcW w:w="3114" w:type="dxa"/>
            <w:shd w:val="clear" w:color="auto" w:fill="E0F4E2" w:themeFill="accent1" w:themeFillTint="33"/>
          </w:tcPr>
          <w:p w14:paraId="7302AF49" w14:textId="77777777" w:rsidR="003A7E3B" w:rsidRPr="003A7E3B" w:rsidRDefault="003A7E3B" w:rsidP="003A7E3B">
            <w:pPr>
              <w:spacing w:after="120" w:line="276" w:lineRule="auto"/>
              <w:rPr>
                <w:rFonts w:cs="Arial"/>
                <w:b/>
                <w:szCs w:val="20"/>
                <w:lang w:val="en-US"/>
              </w:rPr>
            </w:pPr>
            <w:r w:rsidRPr="003A7E3B">
              <w:rPr>
                <w:rFonts w:cs="Arial"/>
                <w:b/>
                <w:szCs w:val="20"/>
                <w:lang w:val="en-US"/>
              </w:rPr>
              <w:lastRenderedPageBreak/>
              <w:t xml:space="preserve">Required knowledge, skills, </w:t>
            </w:r>
            <w:proofErr w:type="gramStart"/>
            <w:r w:rsidRPr="003A7E3B">
              <w:rPr>
                <w:rFonts w:cs="Arial"/>
                <w:b/>
                <w:szCs w:val="20"/>
                <w:lang w:val="en-US"/>
              </w:rPr>
              <w:t>attitudes</w:t>
            </w:r>
            <w:proofErr w:type="gramEnd"/>
            <w:r w:rsidRPr="003A7E3B">
              <w:rPr>
                <w:rFonts w:cs="Arial"/>
                <w:b/>
                <w:szCs w:val="20"/>
                <w:lang w:val="en-US"/>
              </w:rPr>
              <w:t xml:space="preserve"> and experiences (A RICH)</w:t>
            </w:r>
          </w:p>
        </w:tc>
        <w:tc>
          <w:tcPr>
            <w:tcW w:w="6514" w:type="dxa"/>
          </w:tcPr>
          <w:p w14:paraId="490B6FDE" w14:textId="77777777" w:rsidR="003A7E3B" w:rsidRPr="003A7E3B" w:rsidRDefault="003A7E3B" w:rsidP="003A7E3B">
            <w:pPr>
              <w:spacing w:after="120" w:line="276" w:lineRule="auto"/>
              <w:rPr>
                <w:rFonts w:cs="Arial"/>
                <w:szCs w:val="20"/>
                <w:lang w:val="en-US"/>
              </w:rPr>
            </w:pPr>
            <w:r w:rsidRPr="003A7E3B">
              <w:rPr>
                <w:rFonts w:cs="Arial"/>
                <w:szCs w:val="20"/>
                <w:lang w:val="en-US"/>
              </w:rPr>
              <w:t xml:space="preserve">This identifies the key underpinning capabilities (C) necessary for performing the activity, together with necessary agency (A), reliability (R), integrity (I) and humility (H) as outlined in the </w:t>
            </w:r>
            <w:r w:rsidRPr="003A7E3B">
              <w:rPr>
                <w:rFonts w:cs="Arial"/>
                <w:b/>
                <w:szCs w:val="20"/>
                <w:lang w:val="en-US"/>
              </w:rPr>
              <w:t>A RICH</w:t>
            </w:r>
            <w:r w:rsidRPr="003A7E3B">
              <w:rPr>
                <w:rFonts w:cs="Arial"/>
                <w:szCs w:val="20"/>
                <w:lang w:val="en-US"/>
              </w:rPr>
              <w:t xml:space="preserve"> framework. All aspects are considered in terms of how they relate to future unsupervised performance of the activity in unpredictable contexts and circumstances.</w:t>
            </w:r>
          </w:p>
        </w:tc>
      </w:tr>
      <w:tr w:rsidR="003A7E3B" w:rsidRPr="003A7E3B" w14:paraId="3A73F76E" w14:textId="77777777" w:rsidTr="001B3F80">
        <w:trPr>
          <w:cantSplit/>
        </w:trPr>
        <w:tc>
          <w:tcPr>
            <w:tcW w:w="3114" w:type="dxa"/>
            <w:shd w:val="clear" w:color="auto" w:fill="E0F4E2" w:themeFill="accent1" w:themeFillTint="33"/>
          </w:tcPr>
          <w:p w14:paraId="6D47B0D7" w14:textId="77777777" w:rsidR="003A7E3B" w:rsidRPr="003A7E3B" w:rsidRDefault="003A7E3B" w:rsidP="003A7E3B">
            <w:pPr>
              <w:spacing w:after="120" w:line="276" w:lineRule="auto"/>
              <w:rPr>
                <w:rFonts w:cs="Arial"/>
                <w:b/>
                <w:szCs w:val="20"/>
                <w:lang w:val="en-US"/>
              </w:rPr>
            </w:pPr>
            <w:r w:rsidRPr="003A7E3B">
              <w:rPr>
                <w:rFonts w:cs="Arial"/>
                <w:b/>
                <w:szCs w:val="20"/>
                <w:lang w:val="en-US"/>
              </w:rPr>
              <w:t>Information sources to assess progress and ground a summative entrustment decision</w:t>
            </w:r>
          </w:p>
        </w:tc>
        <w:tc>
          <w:tcPr>
            <w:tcW w:w="6514" w:type="dxa"/>
          </w:tcPr>
          <w:p w14:paraId="72582442" w14:textId="666CFD2F" w:rsidR="003A7E3B" w:rsidRPr="003A7E3B" w:rsidRDefault="003A7E3B" w:rsidP="003A7E3B">
            <w:pPr>
              <w:spacing w:after="120" w:line="276" w:lineRule="auto"/>
              <w:rPr>
                <w:rFonts w:cs="Arial"/>
                <w:szCs w:val="20"/>
                <w:lang w:val="en-US"/>
              </w:rPr>
            </w:pPr>
            <w:r w:rsidRPr="003A7E3B">
              <w:rPr>
                <w:rFonts w:cs="Arial"/>
                <w:szCs w:val="20"/>
                <w:lang w:val="en-US"/>
              </w:rPr>
              <w:t xml:space="preserve">While ad hoc entrustment decisions can be made on informal evidence, summative entrustment decisions are made </w:t>
            </w:r>
            <w:proofErr w:type="gramStart"/>
            <w:r w:rsidRPr="003A7E3B">
              <w:rPr>
                <w:rFonts w:cs="Arial"/>
                <w:szCs w:val="20"/>
                <w:lang w:val="en-US"/>
              </w:rPr>
              <w:t>on the basis of</w:t>
            </w:r>
            <w:proofErr w:type="gramEnd"/>
            <w:r w:rsidRPr="003A7E3B">
              <w:rPr>
                <w:rFonts w:cs="Arial"/>
                <w:szCs w:val="20"/>
                <w:lang w:val="en-US"/>
              </w:rPr>
              <w:t xml:space="preserve"> sufficient evidence from a range of sources. Use of diverse tools and approaches is </w:t>
            </w:r>
            <w:r w:rsidR="003535BC" w:rsidRPr="003A7E3B">
              <w:rPr>
                <w:rFonts w:cs="Arial"/>
                <w:szCs w:val="20"/>
                <w:lang w:val="en-US"/>
              </w:rPr>
              <w:t>critical since</w:t>
            </w:r>
            <w:r w:rsidRPr="003A7E3B">
              <w:rPr>
                <w:rFonts w:cs="Arial"/>
                <w:szCs w:val="20"/>
                <w:lang w:val="en-US"/>
              </w:rPr>
              <w:t xml:space="preserve"> current observed performance must be extrapolated to future unsupervised performance. In addition, multiple assessment points are required, with the quantum based on how high the sta</w:t>
            </w:r>
            <w:r w:rsidR="003535BC">
              <w:rPr>
                <w:rFonts w:cs="Arial"/>
                <w:szCs w:val="20"/>
                <w:lang w:val="en-US"/>
              </w:rPr>
              <w:t>k</w:t>
            </w:r>
            <w:r w:rsidRPr="003A7E3B">
              <w:rPr>
                <w:rFonts w:cs="Arial"/>
                <w:szCs w:val="20"/>
                <w:lang w:val="en-US"/>
              </w:rPr>
              <w:t>es are for entrustment. Sampling should be representative of the breadth of contexts, and there should be sufficient assessment points to be confident the learner is performing consistently. Sampling should also capture the perspectives of the range of stakeholders impacted by the entrustment decision (</w:t>
            </w:r>
            <w:proofErr w:type="gramStart"/>
            <w:r w:rsidRPr="003A7E3B">
              <w:rPr>
                <w:rFonts w:cs="Arial"/>
                <w:szCs w:val="20"/>
                <w:lang w:val="en-US"/>
              </w:rPr>
              <w:t>e</w:t>
            </w:r>
            <w:r w:rsidR="003535BC">
              <w:rPr>
                <w:rFonts w:cs="Arial"/>
                <w:szCs w:val="20"/>
                <w:lang w:val="en-US"/>
              </w:rPr>
              <w:t>.</w:t>
            </w:r>
            <w:r w:rsidRPr="003A7E3B">
              <w:rPr>
                <w:rFonts w:cs="Arial"/>
                <w:szCs w:val="20"/>
                <w:lang w:val="en-US"/>
              </w:rPr>
              <w:t>g</w:t>
            </w:r>
            <w:r w:rsidR="003535BC">
              <w:rPr>
                <w:rFonts w:cs="Arial"/>
                <w:szCs w:val="20"/>
                <w:lang w:val="en-US"/>
              </w:rPr>
              <w:t>.</w:t>
            </w:r>
            <w:proofErr w:type="gramEnd"/>
            <w:r w:rsidRPr="003A7E3B">
              <w:rPr>
                <w:rFonts w:cs="Arial"/>
                <w:szCs w:val="20"/>
                <w:lang w:val="en-US"/>
              </w:rPr>
              <w:t xml:space="preserve"> allied health professionals, patients, peers).</w:t>
            </w:r>
          </w:p>
        </w:tc>
      </w:tr>
      <w:tr w:rsidR="003A7E3B" w:rsidRPr="003A7E3B" w14:paraId="178A4C5D" w14:textId="77777777" w:rsidTr="001B3F80">
        <w:trPr>
          <w:cantSplit/>
        </w:trPr>
        <w:tc>
          <w:tcPr>
            <w:tcW w:w="3114" w:type="dxa"/>
            <w:shd w:val="clear" w:color="auto" w:fill="E0F4E2" w:themeFill="accent1" w:themeFillTint="33"/>
          </w:tcPr>
          <w:p w14:paraId="0DE80FC1" w14:textId="77777777" w:rsidR="003A7E3B" w:rsidRPr="003A7E3B" w:rsidRDefault="003A7E3B" w:rsidP="003A7E3B">
            <w:pPr>
              <w:spacing w:after="120" w:line="276" w:lineRule="auto"/>
              <w:rPr>
                <w:rFonts w:cs="Arial"/>
                <w:b/>
                <w:szCs w:val="20"/>
                <w:lang w:val="en-US"/>
              </w:rPr>
            </w:pPr>
            <w:r w:rsidRPr="003A7E3B">
              <w:rPr>
                <w:rFonts w:cs="Arial"/>
                <w:b/>
                <w:szCs w:val="20"/>
                <w:lang w:val="en-US"/>
              </w:rPr>
              <w:t>Entrustment/supervision level expected at which stage of training</w:t>
            </w:r>
          </w:p>
        </w:tc>
        <w:tc>
          <w:tcPr>
            <w:tcW w:w="6514" w:type="dxa"/>
          </w:tcPr>
          <w:p w14:paraId="1AB11BF5" w14:textId="0CDF21B0" w:rsidR="003A7E3B" w:rsidRPr="003A7E3B" w:rsidRDefault="003A7E3B" w:rsidP="003A7E3B">
            <w:pPr>
              <w:spacing w:after="120" w:line="276" w:lineRule="auto"/>
              <w:rPr>
                <w:rFonts w:cs="Arial"/>
                <w:szCs w:val="20"/>
                <w:lang w:val="en-US"/>
              </w:rPr>
            </w:pPr>
            <w:r w:rsidRPr="003A7E3B">
              <w:rPr>
                <w:rFonts w:cs="Arial"/>
                <w:szCs w:val="20"/>
                <w:lang w:val="en-US"/>
              </w:rPr>
              <w:t>This specifies the level of supervision expected on entry to intern training, and the level required in order to undertake unsupervised practice (</w:t>
            </w:r>
            <w:proofErr w:type="gramStart"/>
            <w:r w:rsidRPr="003A7E3B">
              <w:rPr>
                <w:rFonts w:cs="Arial"/>
                <w:szCs w:val="20"/>
                <w:lang w:val="en-US"/>
              </w:rPr>
              <w:t>i</w:t>
            </w:r>
            <w:r w:rsidR="003535BC">
              <w:rPr>
                <w:rFonts w:cs="Arial"/>
                <w:szCs w:val="20"/>
                <w:lang w:val="en-US"/>
              </w:rPr>
              <w:t>.</w:t>
            </w:r>
            <w:r w:rsidRPr="003A7E3B">
              <w:rPr>
                <w:rFonts w:cs="Arial"/>
                <w:szCs w:val="20"/>
                <w:lang w:val="en-US"/>
              </w:rPr>
              <w:t>e</w:t>
            </w:r>
            <w:r w:rsidR="003535BC">
              <w:rPr>
                <w:rFonts w:cs="Arial"/>
                <w:szCs w:val="20"/>
                <w:lang w:val="en-US"/>
              </w:rPr>
              <w:t>.</w:t>
            </w:r>
            <w:proofErr w:type="gramEnd"/>
            <w:r w:rsidRPr="003A7E3B">
              <w:rPr>
                <w:rFonts w:cs="Arial"/>
                <w:szCs w:val="20"/>
                <w:lang w:val="en-US"/>
              </w:rPr>
              <w:t xml:space="preserve"> to be entrusted during the intern year).</w:t>
            </w:r>
          </w:p>
        </w:tc>
      </w:tr>
      <w:tr w:rsidR="003A7E3B" w:rsidRPr="003A7E3B" w14:paraId="2C48661A" w14:textId="77777777" w:rsidTr="001B3F80">
        <w:trPr>
          <w:cantSplit/>
        </w:trPr>
        <w:tc>
          <w:tcPr>
            <w:tcW w:w="3114" w:type="dxa"/>
            <w:shd w:val="clear" w:color="auto" w:fill="E0F4E2" w:themeFill="accent1" w:themeFillTint="33"/>
          </w:tcPr>
          <w:p w14:paraId="2FA054C4" w14:textId="77777777" w:rsidR="003A7E3B" w:rsidRPr="003A7E3B" w:rsidRDefault="003A7E3B" w:rsidP="003A7E3B">
            <w:pPr>
              <w:spacing w:after="120" w:line="276" w:lineRule="auto"/>
              <w:rPr>
                <w:rFonts w:cs="Arial"/>
                <w:b/>
                <w:szCs w:val="20"/>
                <w:lang w:val="en-US"/>
              </w:rPr>
            </w:pPr>
            <w:r w:rsidRPr="003A7E3B">
              <w:rPr>
                <w:rFonts w:cs="Arial"/>
                <w:b/>
                <w:szCs w:val="20"/>
                <w:lang w:val="en-US"/>
              </w:rPr>
              <w:t xml:space="preserve">Time period to expiration if not </w:t>
            </w:r>
            <w:proofErr w:type="spellStart"/>
            <w:r w:rsidRPr="003A7E3B">
              <w:rPr>
                <w:rFonts w:cs="Arial"/>
                <w:b/>
                <w:szCs w:val="20"/>
                <w:lang w:val="en-US"/>
              </w:rPr>
              <w:t>practised</w:t>
            </w:r>
            <w:proofErr w:type="spellEnd"/>
          </w:p>
        </w:tc>
        <w:tc>
          <w:tcPr>
            <w:tcW w:w="6514" w:type="dxa"/>
          </w:tcPr>
          <w:p w14:paraId="34E0B9E5" w14:textId="7EF79FC7" w:rsidR="003A7E3B" w:rsidRPr="003A7E3B" w:rsidRDefault="003A7E3B" w:rsidP="003A7E3B">
            <w:pPr>
              <w:spacing w:after="120" w:line="276" w:lineRule="auto"/>
              <w:rPr>
                <w:rFonts w:cs="Arial"/>
                <w:szCs w:val="20"/>
                <w:lang w:val="en-US"/>
              </w:rPr>
            </w:pPr>
            <w:r w:rsidRPr="003A7E3B">
              <w:rPr>
                <w:rFonts w:cs="Arial"/>
                <w:szCs w:val="20"/>
                <w:lang w:val="en-US"/>
              </w:rPr>
              <w:t xml:space="preserve">For some EPAs, the ability to perform </w:t>
            </w:r>
            <w:r w:rsidR="00556A73">
              <w:rPr>
                <w:rFonts w:cs="Arial"/>
                <w:szCs w:val="20"/>
                <w:lang w:val="en-US"/>
              </w:rPr>
              <w:t xml:space="preserve">at any level of </w:t>
            </w:r>
            <w:r w:rsidRPr="003A7E3B">
              <w:rPr>
                <w:rFonts w:cs="Arial"/>
                <w:szCs w:val="20"/>
                <w:lang w:val="en-US"/>
              </w:rPr>
              <w:t>supervision may decay if the activity is not performed regularly. During the intern year, this aspect may or may not be relevant</w:t>
            </w:r>
            <w:r w:rsidR="00B81B43">
              <w:rPr>
                <w:rFonts w:cs="Arial"/>
                <w:szCs w:val="20"/>
                <w:lang w:val="en-US"/>
              </w:rPr>
              <w:t>;</w:t>
            </w:r>
            <w:r w:rsidR="00E4056D">
              <w:rPr>
                <w:rFonts w:cs="Arial"/>
                <w:szCs w:val="20"/>
                <w:lang w:val="en-US"/>
              </w:rPr>
              <w:t xml:space="preserve"> </w:t>
            </w:r>
            <w:r w:rsidR="00B81B43">
              <w:rPr>
                <w:rFonts w:cs="Arial"/>
                <w:szCs w:val="20"/>
                <w:lang w:val="en-US"/>
              </w:rPr>
              <w:t>nevertheless, it</w:t>
            </w:r>
            <w:r w:rsidR="00E4056D">
              <w:rPr>
                <w:rFonts w:cs="Arial"/>
                <w:szCs w:val="20"/>
                <w:lang w:val="en-US"/>
              </w:rPr>
              <w:t xml:space="preserve"> </w:t>
            </w:r>
            <w:r w:rsidR="00B81B43">
              <w:rPr>
                <w:rFonts w:cs="Arial"/>
                <w:szCs w:val="20"/>
                <w:lang w:val="en-US"/>
              </w:rPr>
              <w:t>remains</w:t>
            </w:r>
            <w:r w:rsidR="00E4056D">
              <w:rPr>
                <w:rFonts w:cs="Arial"/>
                <w:szCs w:val="20"/>
                <w:lang w:val="en-US"/>
              </w:rPr>
              <w:t xml:space="preserve"> </w:t>
            </w:r>
            <w:r w:rsidR="00B81B43">
              <w:rPr>
                <w:rFonts w:cs="Arial"/>
                <w:szCs w:val="20"/>
                <w:lang w:val="en-US"/>
              </w:rPr>
              <w:t>an important</w:t>
            </w:r>
            <w:r w:rsidR="00E4056D">
              <w:rPr>
                <w:rFonts w:cs="Arial"/>
                <w:szCs w:val="20"/>
                <w:lang w:val="en-US"/>
              </w:rPr>
              <w:t xml:space="preserve"> consider</w:t>
            </w:r>
            <w:r w:rsidR="00B81B43">
              <w:rPr>
                <w:rFonts w:cs="Arial"/>
                <w:szCs w:val="20"/>
                <w:lang w:val="en-US"/>
              </w:rPr>
              <w:t>ation</w:t>
            </w:r>
            <w:r w:rsidR="00B20842">
              <w:rPr>
                <w:rFonts w:cs="Arial"/>
                <w:szCs w:val="20"/>
                <w:lang w:val="en-US"/>
              </w:rPr>
              <w:t xml:space="preserve"> and re-assessment of entrustment should be carried out where appropriate</w:t>
            </w:r>
            <w:r w:rsidRPr="003A7E3B">
              <w:rPr>
                <w:rFonts w:cs="Arial"/>
                <w:szCs w:val="20"/>
                <w:lang w:val="en-US"/>
              </w:rPr>
              <w:t>.</w:t>
            </w:r>
          </w:p>
        </w:tc>
      </w:tr>
    </w:tbl>
    <w:p w14:paraId="3BCD5C4D" w14:textId="29B09905" w:rsidR="003A7E3B" w:rsidRPr="003A7E3B" w:rsidRDefault="003A7E3B" w:rsidP="003A7E3B">
      <w:pPr>
        <w:rPr>
          <w:rFonts w:cs="Arial"/>
          <w:szCs w:val="20"/>
          <w:lang w:val="en-US"/>
        </w:rPr>
      </w:pPr>
      <w:r w:rsidRPr="003A7E3B">
        <w:rPr>
          <w:rFonts w:cs="Arial"/>
          <w:szCs w:val="20"/>
          <w:lang w:val="en-US"/>
        </w:rPr>
        <w:t xml:space="preserve">*In the original EPA models, this component usually refers to competency domains; however, in the context of Australian pharmacy intern assessments, the </w:t>
      </w:r>
      <w:r w:rsidRPr="00207D49">
        <w:rPr>
          <w:rFonts w:cs="Arial"/>
          <w:iCs/>
          <w:szCs w:val="20"/>
          <w:lang w:val="en-US"/>
        </w:rPr>
        <w:t>Performance Outcomes Framework</w:t>
      </w:r>
      <w:r w:rsidRPr="003A7E3B">
        <w:rPr>
          <w:rFonts w:cs="Arial"/>
          <w:szCs w:val="20"/>
          <w:lang w:val="en-US"/>
        </w:rPr>
        <w:t xml:space="preserve"> is regarded as the relevant framework. As outlined in the performance outcomes documentation, all enabling competencies in the </w:t>
      </w:r>
      <w:r w:rsidRPr="00207D49">
        <w:rPr>
          <w:rFonts w:cs="Arial"/>
          <w:iCs/>
          <w:szCs w:val="20"/>
          <w:lang w:val="en-US"/>
        </w:rPr>
        <w:t>National Competency Standards Framework</w:t>
      </w:r>
      <w:r w:rsidRPr="003A7E3B">
        <w:rPr>
          <w:rFonts w:cs="Arial"/>
          <w:szCs w:val="20"/>
          <w:lang w:val="en-US"/>
        </w:rPr>
        <w:t xml:space="preserve"> have been mapped to one or more performance outcomes. </w:t>
      </w:r>
    </w:p>
    <w:p w14:paraId="43F7D1DC" w14:textId="274451B2" w:rsidR="003A7E3B" w:rsidRPr="00011F98" w:rsidRDefault="003A7E3B" w:rsidP="003A7E3B">
      <w:pPr>
        <w:pStyle w:val="Heading1"/>
        <w:rPr>
          <w:lang w:val="en-US"/>
        </w:rPr>
      </w:pPr>
      <w:bookmarkStart w:id="13" w:name="_Toc70607189"/>
      <w:r w:rsidRPr="00011F98">
        <w:rPr>
          <w:lang w:val="en-US"/>
        </w:rPr>
        <w:t xml:space="preserve">Assessing </w:t>
      </w:r>
      <w:r w:rsidR="003A17DB">
        <w:rPr>
          <w:lang w:val="en-US"/>
        </w:rPr>
        <w:t xml:space="preserve">pharmacy </w:t>
      </w:r>
      <w:r w:rsidRPr="00011F98">
        <w:rPr>
          <w:lang w:val="en-US"/>
        </w:rPr>
        <w:t>intern performance using EPAs</w:t>
      </w:r>
      <w:bookmarkEnd w:id="13"/>
    </w:p>
    <w:p w14:paraId="676CE5B8" w14:textId="281272E2" w:rsidR="003A17DB" w:rsidRDefault="003A17DB" w:rsidP="003A7E3B">
      <w:pPr>
        <w:rPr>
          <w:rFonts w:cs="Arial"/>
          <w:lang w:val="en-US"/>
        </w:rPr>
      </w:pPr>
      <w:r>
        <w:rPr>
          <w:rFonts w:cs="Arial"/>
          <w:lang w:val="en-US"/>
        </w:rPr>
        <w:t>Interns, or provisionally registered pharmacists, are eligible to apply for general registration on completion of a period of supervised practice and specified assessment</w:t>
      </w:r>
      <w:r w:rsidR="00391811">
        <w:rPr>
          <w:rFonts w:cs="Arial"/>
          <w:lang w:val="en-US"/>
        </w:rPr>
        <w:t>s</w:t>
      </w:r>
      <w:r>
        <w:rPr>
          <w:rFonts w:cs="Arial"/>
          <w:lang w:val="en-US"/>
        </w:rPr>
        <w:t xml:space="preserve"> as determined by the Pharmacy Board of Australia. A critical element is the </w:t>
      </w:r>
      <w:r w:rsidR="00793699">
        <w:rPr>
          <w:rFonts w:cs="Arial"/>
          <w:lang w:val="en-US"/>
        </w:rPr>
        <w:t xml:space="preserve">certification by preceptors that the intern is ready for unsupervised practice. Preceptors reach their decision about the readiness-to-practise of interns </w:t>
      </w:r>
      <w:proofErr w:type="gramStart"/>
      <w:r w:rsidR="00793699">
        <w:rPr>
          <w:rFonts w:cs="Arial"/>
          <w:lang w:val="en-US"/>
        </w:rPr>
        <w:t>on the basis of</w:t>
      </w:r>
      <w:proofErr w:type="gramEnd"/>
      <w:r w:rsidR="00793699">
        <w:rPr>
          <w:rFonts w:cs="Arial"/>
          <w:lang w:val="en-US"/>
        </w:rPr>
        <w:t xml:space="preserve"> working closely and observing them over an extended period of time. Preceptors are responsible for providing feedback designed to improve intern performance and then making a point-in-time decision that they </w:t>
      </w:r>
      <w:proofErr w:type="gramStart"/>
      <w:r w:rsidR="00793699">
        <w:rPr>
          <w:rFonts w:cs="Arial"/>
          <w:lang w:val="en-US"/>
        </w:rPr>
        <w:t>are able to</w:t>
      </w:r>
      <w:proofErr w:type="gramEnd"/>
      <w:r w:rsidR="00793699">
        <w:rPr>
          <w:rFonts w:cs="Arial"/>
          <w:lang w:val="en-US"/>
        </w:rPr>
        <w:t xml:space="preserve"> practice without supervision. These two responsibilities are equivalent to formative and summative assessment </w:t>
      </w:r>
      <w:proofErr w:type="gramStart"/>
      <w:r w:rsidR="00793699">
        <w:rPr>
          <w:rFonts w:cs="Arial"/>
          <w:lang w:val="en-US"/>
        </w:rPr>
        <w:t>decisions</w:t>
      </w:r>
      <w:proofErr w:type="gramEnd"/>
      <w:r w:rsidR="00793699">
        <w:rPr>
          <w:rFonts w:cs="Arial"/>
          <w:lang w:val="en-US"/>
        </w:rPr>
        <w:t xml:space="preserve"> respectively.</w:t>
      </w:r>
    </w:p>
    <w:p w14:paraId="018908EF" w14:textId="0E5CF153" w:rsidR="003A17DB" w:rsidRDefault="003A17DB" w:rsidP="003A7E3B">
      <w:pPr>
        <w:rPr>
          <w:rFonts w:cs="Arial"/>
          <w:lang w:val="en-US"/>
        </w:rPr>
      </w:pPr>
      <w:r>
        <w:rPr>
          <w:rFonts w:cs="Arial"/>
          <w:lang w:val="en-US"/>
        </w:rPr>
        <w:t xml:space="preserve">EPAs can be used as the basis for both formative and summative </w:t>
      </w:r>
      <w:r w:rsidR="00391811">
        <w:rPr>
          <w:rFonts w:cs="Arial"/>
          <w:lang w:val="en-US"/>
        </w:rPr>
        <w:t xml:space="preserve">entrustment </w:t>
      </w:r>
      <w:r>
        <w:rPr>
          <w:rFonts w:cs="Arial"/>
          <w:lang w:val="en-US"/>
        </w:rPr>
        <w:t xml:space="preserve">assessments of intern performance during the period of supervised practice. </w:t>
      </w:r>
      <w:r w:rsidR="00793699">
        <w:rPr>
          <w:rFonts w:cs="Arial"/>
          <w:lang w:val="en-US"/>
        </w:rPr>
        <w:t xml:space="preserve">Each time an intern performs an EPA is an opportunity for development (formative), and when the EPA has been carried out consistently and appropriately over </w:t>
      </w:r>
      <w:proofErr w:type="gramStart"/>
      <w:r w:rsidR="00793699">
        <w:rPr>
          <w:rFonts w:cs="Arial"/>
          <w:lang w:val="en-US"/>
        </w:rPr>
        <w:t xml:space="preserve">a </w:t>
      </w:r>
      <w:r w:rsidR="00793699">
        <w:rPr>
          <w:rFonts w:cs="Arial"/>
          <w:lang w:val="en-US"/>
        </w:rPr>
        <w:lastRenderedPageBreak/>
        <w:t>period of time</w:t>
      </w:r>
      <w:proofErr w:type="gramEnd"/>
      <w:r w:rsidR="00793699">
        <w:rPr>
          <w:rFonts w:cs="Arial"/>
          <w:lang w:val="en-US"/>
        </w:rPr>
        <w:t xml:space="preserve">, the preceptor may decide that the intern </w:t>
      </w:r>
      <w:r w:rsidR="002A6B5C">
        <w:rPr>
          <w:rFonts w:cs="Arial"/>
          <w:lang w:val="en-US"/>
        </w:rPr>
        <w:t>can be trusted</w:t>
      </w:r>
      <w:r w:rsidR="00793699">
        <w:rPr>
          <w:rFonts w:cs="Arial"/>
          <w:lang w:val="en-US"/>
        </w:rPr>
        <w:t xml:space="preserve"> to perform that EPA without supervision (summative).</w:t>
      </w:r>
    </w:p>
    <w:p w14:paraId="153ABB9E" w14:textId="159C4BB2" w:rsidR="003A7E3B" w:rsidRPr="003A7E3B" w:rsidRDefault="003A7E3B" w:rsidP="003A7E3B">
      <w:pPr>
        <w:rPr>
          <w:rFonts w:cs="Arial"/>
          <w:lang w:val="en-US"/>
        </w:rPr>
      </w:pPr>
      <w:r w:rsidRPr="003A7E3B">
        <w:rPr>
          <w:rFonts w:cs="Arial"/>
          <w:lang w:val="en-US"/>
        </w:rPr>
        <w:t xml:space="preserve">The </w:t>
      </w:r>
      <w:r w:rsidR="00207D49">
        <w:rPr>
          <w:rFonts w:cs="Arial"/>
          <w:lang w:val="en-US"/>
        </w:rPr>
        <w:t>APC</w:t>
      </w:r>
      <w:r w:rsidRPr="003A7E3B">
        <w:rPr>
          <w:rFonts w:cs="Arial"/>
          <w:lang w:val="en-US"/>
        </w:rPr>
        <w:t xml:space="preserve"> has formulated EPAs which relate to some of the performance outcomes in the </w:t>
      </w:r>
      <w:r w:rsidRPr="00207D49">
        <w:rPr>
          <w:rFonts w:cs="Arial"/>
          <w:iCs/>
          <w:lang w:val="en-US"/>
        </w:rPr>
        <w:t>Performance Outcomes Framework</w:t>
      </w:r>
      <w:r w:rsidRPr="003A7E3B">
        <w:rPr>
          <w:rFonts w:cs="Arial"/>
          <w:lang w:val="en-US"/>
        </w:rPr>
        <w:t xml:space="preserve">. Each EPA description includes the eight components of the </w:t>
      </w:r>
      <w:proofErr w:type="gramStart"/>
      <w:r w:rsidRPr="003A7E3B">
        <w:rPr>
          <w:rFonts w:cs="Arial"/>
          <w:lang w:val="en-US"/>
        </w:rPr>
        <w:t>activity,</w:t>
      </w:r>
      <w:r w:rsidR="00093FED">
        <w:rPr>
          <w:rFonts w:cs="Arial"/>
          <w:lang w:val="en-US"/>
        </w:rPr>
        <w:t xml:space="preserve"> </w:t>
      </w:r>
      <w:r w:rsidRPr="003A7E3B">
        <w:rPr>
          <w:rFonts w:cs="Arial"/>
          <w:lang w:val="en-US"/>
        </w:rPr>
        <w:t>and</w:t>
      </w:r>
      <w:proofErr w:type="gramEnd"/>
      <w:r w:rsidRPr="003A7E3B">
        <w:rPr>
          <w:rFonts w:cs="Arial"/>
          <w:lang w:val="en-US"/>
        </w:rPr>
        <w:t xml:space="preserve"> is accompanied by an outline of the assessment process, activities to be observed such as </w:t>
      </w:r>
      <w:r w:rsidRPr="003A7E3B">
        <w:rPr>
          <w:rFonts w:cs="Arial"/>
          <w:b/>
          <w:lang w:val="en-US"/>
        </w:rPr>
        <w:t>Short Practice Observations</w:t>
      </w:r>
      <w:r w:rsidRPr="003A7E3B">
        <w:rPr>
          <w:rFonts w:cs="Arial"/>
          <w:lang w:val="en-US"/>
        </w:rPr>
        <w:t xml:space="preserve"> (SPOs), and tools to facilitate assessment such as forms and templates. The EPA description also includes guidance on the conduct of </w:t>
      </w:r>
      <w:r w:rsidRPr="003A7E3B">
        <w:rPr>
          <w:rFonts w:cs="Arial"/>
          <w:b/>
          <w:lang w:val="en-US"/>
        </w:rPr>
        <w:t>entrustment discussions</w:t>
      </w:r>
      <w:r w:rsidRPr="003A7E3B">
        <w:rPr>
          <w:rFonts w:cs="Arial"/>
          <w:lang w:val="en-US"/>
        </w:rPr>
        <w:t xml:space="preserve">, both ad hoc </w:t>
      </w:r>
      <w:r w:rsidR="00793699">
        <w:rPr>
          <w:rFonts w:cs="Arial"/>
          <w:lang w:val="en-US"/>
        </w:rPr>
        <w:t xml:space="preserve">(formative) </w:t>
      </w:r>
      <w:r w:rsidRPr="003A7E3B">
        <w:rPr>
          <w:rFonts w:cs="Arial"/>
          <w:lang w:val="en-US"/>
        </w:rPr>
        <w:t xml:space="preserve">and summative, between the intern and assessor. Where relevant, the </w:t>
      </w:r>
      <w:r w:rsidRPr="003A7E3B">
        <w:rPr>
          <w:rFonts w:cs="Arial"/>
          <w:b/>
          <w:lang w:val="en-US"/>
        </w:rPr>
        <w:t>product</w:t>
      </w:r>
      <w:r w:rsidRPr="003A7E3B">
        <w:rPr>
          <w:rFonts w:cs="Arial"/>
          <w:lang w:val="en-US"/>
        </w:rPr>
        <w:t xml:space="preserve"> of the activity may also be assessed.</w:t>
      </w:r>
    </w:p>
    <w:p w14:paraId="6AB9EB92" w14:textId="6B9EC0A2" w:rsidR="003A7E3B" w:rsidRPr="003A7E3B" w:rsidRDefault="003A7E3B" w:rsidP="003A7E3B">
      <w:pPr>
        <w:pStyle w:val="Heading3"/>
        <w:rPr>
          <w:lang w:val="en-US"/>
        </w:rPr>
      </w:pPr>
      <w:bookmarkStart w:id="14" w:name="_Toc65227174"/>
      <w:bookmarkStart w:id="15" w:name="_Toc70607190"/>
      <w:r w:rsidRPr="003A7E3B">
        <w:rPr>
          <w:lang w:val="en-US"/>
        </w:rPr>
        <w:t>Short Practice Observations</w:t>
      </w:r>
      <w:bookmarkEnd w:id="14"/>
      <w:r w:rsidR="00207D49">
        <w:rPr>
          <w:lang w:val="en-US"/>
        </w:rPr>
        <w:t xml:space="preserve"> (SPOs)</w:t>
      </w:r>
      <w:bookmarkEnd w:id="15"/>
    </w:p>
    <w:p w14:paraId="798F24E4" w14:textId="2D14E494" w:rsidR="003A7E3B" w:rsidRDefault="003A7E3B" w:rsidP="003A7E3B">
      <w:pPr>
        <w:rPr>
          <w:rFonts w:cs="Arial"/>
          <w:lang w:val="en-US"/>
        </w:rPr>
      </w:pPr>
      <w:r w:rsidRPr="003A7E3B">
        <w:rPr>
          <w:rFonts w:cs="Arial"/>
          <w:lang w:val="en-US"/>
        </w:rPr>
        <w:t xml:space="preserve">These take the form of any observation of the intern carrying out the EPA as part of normal professional practice. </w:t>
      </w:r>
      <w:r w:rsidR="00CE67B9">
        <w:rPr>
          <w:rFonts w:cs="Arial"/>
          <w:lang w:val="en-US"/>
        </w:rPr>
        <w:t xml:space="preserve">The SPO is an opportunity for the intern to be observed carrying out an EPA, and to receive feedback on both current performance and areas for improvement. It is </w:t>
      </w:r>
      <w:r w:rsidR="002A6B5C">
        <w:rPr>
          <w:rFonts w:cs="Arial"/>
          <w:lang w:val="en-US"/>
        </w:rPr>
        <w:t xml:space="preserve">therefore </w:t>
      </w:r>
      <w:r w:rsidR="00CE67B9">
        <w:rPr>
          <w:rFonts w:cs="Arial"/>
          <w:lang w:val="en-US"/>
        </w:rPr>
        <w:t xml:space="preserve">primarily a formative assessment, but evidence from </w:t>
      </w:r>
      <w:proofErr w:type="gramStart"/>
      <w:r w:rsidR="00CE67B9">
        <w:rPr>
          <w:rFonts w:cs="Arial"/>
          <w:lang w:val="en-US"/>
        </w:rPr>
        <w:t>a number of</w:t>
      </w:r>
      <w:proofErr w:type="gramEnd"/>
      <w:r w:rsidR="00CE67B9">
        <w:rPr>
          <w:rFonts w:cs="Arial"/>
          <w:lang w:val="en-US"/>
        </w:rPr>
        <w:t xml:space="preserve"> SPOs may be used as part of a summative entrustment decision. </w:t>
      </w:r>
      <w:r w:rsidRPr="003A7E3B">
        <w:rPr>
          <w:rFonts w:cs="Arial"/>
          <w:lang w:val="en-US"/>
        </w:rPr>
        <w:t xml:space="preserve">A designated </w:t>
      </w:r>
      <w:r w:rsidR="00201C77">
        <w:rPr>
          <w:rFonts w:cs="Arial"/>
          <w:lang w:val="en-US"/>
        </w:rPr>
        <w:t>observer/assessor</w:t>
      </w:r>
      <w:r w:rsidRPr="003A7E3B">
        <w:rPr>
          <w:rFonts w:cs="Arial"/>
          <w:lang w:val="en-US"/>
        </w:rPr>
        <w:t xml:space="preserve">, who could be the preceptor, another pharmacist, a non-pharmacist staff member, a peer, a </w:t>
      </w:r>
      <w:r w:rsidR="007D624C" w:rsidRPr="003A7E3B">
        <w:rPr>
          <w:rFonts w:cs="Arial"/>
          <w:lang w:val="en-US"/>
        </w:rPr>
        <w:t>patient,</w:t>
      </w:r>
      <w:r w:rsidRPr="003A7E3B">
        <w:rPr>
          <w:rFonts w:cs="Arial"/>
          <w:lang w:val="en-US"/>
        </w:rPr>
        <w:t xml:space="preserve"> or any other person with an interest in the outcome of the EPA, observes the intern carrying out the activity from beginning to end and provides feedback on the intern’s performance. The intern and </w:t>
      </w:r>
      <w:r w:rsidR="00201C77">
        <w:rPr>
          <w:rFonts w:cs="Arial"/>
          <w:lang w:val="en-US"/>
        </w:rPr>
        <w:t xml:space="preserve">observer/assessor </w:t>
      </w:r>
      <w:r w:rsidRPr="003A7E3B">
        <w:rPr>
          <w:rFonts w:cs="Arial"/>
          <w:lang w:val="en-US"/>
        </w:rPr>
        <w:t xml:space="preserve">should agree on the specific activity to be observed before commencing it; in other words, all participants should be aware that the observation is </w:t>
      </w:r>
      <w:proofErr w:type="gramStart"/>
      <w:r w:rsidRPr="003A7E3B">
        <w:rPr>
          <w:rFonts w:cs="Arial"/>
          <w:lang w:val="en-US"/>
        </w:rPr>
        <w:t>occurring</w:t>
      </w:r>
      <w:proofErr w:type="gramEnd"/>
      <w:r w:rsidRPr="003A7E3B">
        <w:rPr>
          <w:rFonts w:cs="Arial"/>
          <w:lang w:val="en-US"/>
        </w:rPr>
        <w:t xml:space="preserve"> and that feedback will be provided. It is preferable to use </w:t>
      </w:r>
      <w:r w:rsidR="00201C77">
        <w:rPr>
          <w:rFonts w:cs="Arial"/>
          <w:lang w:val="en-US"/>
        </w:rPr>
        <w:t>a range of observers/assessors</w:t>
      </w:r>
      <w:r w:rsidR="00201C77" w:rsidRPr="003A7E3B">
        <w:rPr>
          <w:rFonts w:cs="Arial"/>
          <w:lang w:val="en-US"/>
        </w:rPr>
        <w:t xml:space="preserve"> </w:t>
      </w:r>
      <w:r w:rsidR="00201C77">
        <w:rPr>
          <w:rFonts w:cs="Arial"/>
          <w:lang w:val="en-US"/>
        </w:rPr>
        <w:t xml:space="preserve">at different time points in the year </w:t>
      </w:r>
      <w:proofErr w:type="gramStart"/>
      <w:r w:rsidRPr="003A7E3B">
        <w:rPr>
          <w:rFonts w:cs="Arial"/>
          <w:lang w:val="en-US"/>
        </w:rPr>
        <w:t>in order to</w:t>
      </w:r>
      <w:proofErr w:type="gramEnd"/>
      <w:r w:rsidRPr="003A7E3B">
        <w:rPr>
          <w:rFonts w:cs="Arial"/>
          <w:lang w:val="en-US"/>
        </w:rPr>
        <w:t xml:space="preserve"> achieve a more holistic assessment</w:t>
      </w:r>
      <w:r w:rsidR="00201C77">
        <w:rPr>
          <w:rFonts w:cs="Arial"/>
          <w:lang w:val="en-US"/>
        </w:rPr>
        <w:t xml:space="preserve">, noting that only one observer/assessor should be present for each SPO. </w:t>
      </w:r>
      <w:r w:rsidRPr="003A7E3B">
        <w:rPr>
          <w:rFonts w:cs="Arial"/>
          <w:lang w:val="en-US"/>
        </w:rPr>
        <w:t xml:space="preserve"> </w:t>
      </w:r>
      <w:r w:rsidR="00201C77">
        <w:rPr>
          <w:rFonts w:cs="Arial"/>
          <w:lang w:val="en-US"/>
        </w:rPr>
        <w:t>A</w:t>
      </w:r>
      <w:r w:rsidRPr="003A7E3B">
        <w:rPr>
          <w:rFonts w:cs="Arial"/>
          <w:lang w:val="en-US"/>
        </w:rPr>
        <w:t xml:space="preserve"> brief written record should be made</w:t>
      </w:r>
      <w:r w:rsidR="00201C77">
        <w:rPr>
          <w:rFonts w:cs="Arial"/>
          <w:lang w:val="en-US"/>
        </w:rPr>
        <w:t xml:space="preserve"> following each observation and </w:t>
      </w:r>
      <w:r w:rsidRPr="003A7E3B">
        <w:rPr>
          <w:rFonts w:cs="Arial"/>
          <w:lang w:val="en-US"/>
        </w:rPr>
        <w:t xml:space="preserve">should include comments on aspects where the intern performed strongly, and areas for improvement, including not only the practical aspects of the activity but also aspects such as situational awareness and recognition of risks. </w:t>
      </w:r>
    </w:p>
    <w:p w14:paraId="2C12F307" w14:textId="45B8C303" w:rsidR="00C74A85" w:rsidRPr="003A7E3B" w:rsidRDefault="00C74A85" w:rsidP="003A7E3B">
      <w:pPr>
        <w:rPr>
          <w:rFonts w:cs="Arial"/>
          <w:lang w:val="en-US"/>
        </w:rPr>
      </w:pPr>
      <w:r>
        <w:rPr>
          <w:rFonts w:cs="Arial"/>
          <w:lang w:val="en-US"/>
        </w:rPr>
        <w:t xml:space="preserve">SPOs should be regularly carried out for each EPA throughout the course of the intern year, as it is </w:t>
      </w:r>
      <w:r w:rsidR="00CE67B9">
        <w:rPr>
          <w:rFonts w:cs="Arial"/>
          <w:lang w:val="en-US"/>
        </w:rPr>
        <w:t>critical</w:t>
      </w:r>
      <w:r>
        <w:rPr>
          <w:rFonts w:cs="Arial"/>
          <w:lang w:val="en-US"/>
        </w:rPr>
        <w:t xml:space="preserve"> that the </w:t>
      </w:r>
      <w:r w:rsidR="00CE67B9">
        <w:rPr>
          <w:rFonts w:cs="Arial"/>
          <w:lang w:val="en-US"/>
        </w:rPr>
        <w:t>intern</w:t>
      </w:r>
      <w:r>
        <w:rPr>
          <w:rFonts w:cs="Arial"/>
          <w:lang w:val="en-US"/>
        </w:rPr>
        <w:t xml:space="preserve"> is able to demonstrate </w:t>
      </w:r>
      <w:r w:rsidR="00CE67B9">
        <w:rPr>
          <w:rFonts w:cs="Arial"/>
          <w:lang w:val="en-US"/>
        </w:rPr>
        <w:t>consistent</w:t>
      </w:r>
      <w:r>
        <w:rPr>
          <w:rFonts w:cs="Arial"/>
          <w:lang w:val="en-US"/>
        </w:rPr>
        <w:t xml:space="preserve"> performance of the EPA. </w:t>
      </w:r>
      <w:r w:rsidR="00CE67B9">
        <w:rPr>
          <w:rFonts w:cs="Arial"/>
          <w:lang w:val="en-US"/>
        </w:rPr>
        <w:t xml:space="preserve">Sufficient time should be allowed between successive SPOs to allow the intern to learn from </w:t>
      </w:r>
      <w:proofErr w:type="gramStart"/>
      <w:r w:rsidR="00CE67B9">
        <w:rPr>
          <w:rFonts w:cs="Arial"/>
          <w:lang w:val="en-US"/>
        </w:rPr>
        <w:t>past experience</w:t>
      </w:r>
      <w:proofErr w:type="gramEnd"/>
      <w:r w:rsidR="00CE67B9">
        <w:rPr>
          <w:rFonts w:cs="Arial"/>
          <w:lang w:val="en-US"/>
        </w:rPr>
        <w:t xml:space="preserve"> and feedback, and to practice the task so that improvements can be incorporated. </w:t>
      </w:r>
    </w:p>
    <w:p w14:paraId="7398C989" w14:textId="77777777" w:rsidR="003A7E3B" w:rsidRPr="003A7E3B" w:rsidRDefault="003A7E3B" w:rsidP="003A7E3B">
      <w:pPr>
        <w:pStyle w:val="Heading3"/>
        <w:rPr>
          <w:lang w:val="en-US"/>
        </w:rPr>
      </w:pPr>
      <w:bookmarkStart w:id="16" w:name="_Toc70607191"/>
      <w:r w:rsidRPr="003A7E3B">
        <w:rPr>
          <w:lang w:val="en-US"/>
        </w:rPr>
        <w:t>Entrustment discussions</w:t>
      </w:r>
      <w:bookmarkEnd w:id="16"/>
    </w:p>
    <w:p w14:paraId="477872AC" w14:textId="013BFCD3" w:rsidR="003A7E3B" w:rsidRPr="003A7E3B" w:rsidRDefault="003A7E3B" w:rsidP="003A7E3B">
      <w:pPr>
        <w:rPr>
          <w:rFonts w:cs="Arial"/>
          <w:lang w:val="en-US"/>
        </w:rPr>
      </w:pPr>
      <w:r w:rsidRPr="003A7E3B">
        <w:rPr>
          <w:rFonts w:eastAsia="Times New Roman" w:cs="Arial"/>
          <w:lang w:eastAsia="en-AU"/>
        </w:rPr>
        <w:t>An entrustment discussion is a particular form of case-based discussion</w:t>
      </w:r>
      <w:r w:rsidR="004A7335">
        <w:rPr>
          <w:rFonts w:eastAsia="Times New Roman" w:cs="Arial"/>
          <w:lang w:eastAsia="en-AU"/>
        </w:rPr>
        <w:t xml:space="preserve"> (CbD)</w:t>
      </w:r>
      <w:r w:rsidRPr="003A7E3B">
        <w:rPr>
          <w:rFonts w:eastAsia="Times New Roman" w:cs="Arial"/>
          <w:lang w:eastAsia="en-AU"/>
        </w:rPr>
        <w:t xml:space="preserve"> or feedback session which “focuses not only on what was done but also on the awareness of potential risk, and how the student would act when faced with unexpected findings or complications” (</w:t>
      </w:r>
      <w:r w:rsidRPr="003A7E3B">
        <w:rPr>
          <w:rFonts w:cs="Arial"/>
          <w:lang w:val="en-US"/>
        </w:rPr>
        <w:t xml:space="preserve">ten Cate, </w:t>
      </w:r>
      <w:proofErr w:type="spellStart"/>
      <w:r w:rsidRPr="003A7E3B">
        <w:rPr>
          <w:rFonts w:cs="Arial"/>
          <w:lang w:val="en-US"/>
        </w:rPr>
        <w:t>Graafmans</w:t>
      </w:r>
      <w:proofErr w:type="spellEnd"/>
      <w:r w:rsidRPr="003A7E3B">
        <w:rPr>
          <w:rFonts w:cs="Arial"/>
          <w:lang w:val="en-US"/>
        </w:rPr>
        <w:t xml:space="preserve">, </w:t>
      </w:r>
      <w:proofErr w:type="spellStart"/>
      <w:r w:rsidRPr="003A7E3B">
        <w:rPr>
          <w:rFonts w:cs="Arial"/>
          <w:lang w:val="en-US"/>
        </w:rPr>
        <w:t>Posthumus</w:t>
      </w:r>
      <w:proofErr w:type="spellEnd"/>
      <w:r w:rsidRPr="003A7E3B">
        <w:rPr>
          <w:rFonts w:cs="Arial"/>
          <w:lang w:val="en-US"/>
        </w:rPr>
        <w:t xml:space="preserve"> et al, 2018</w:t>
      </w:r>
      <w:r w:rsidRPr="003A7E3B">
        <w:rPr>
          <w:rFonts w:eastAsia="Times New Roman" w:cs="Arial"/>
          <w:lang w:eastAsia="en-AU"/>
        </w:rPr>
        <w:t xml:space="preserve"> p. 510)</w:t>
      </w:r>
      <w:r w:rsidR="004A7335">
        <w:rPr>
          <w:rFonts w:eastAsia="Times New Roman" w:cs="Arial"/>
          <w:lang w:eastAsia="en-AU"/>
        </w:rPr>
        <w:t>.</w:t>
      </w:r>
      <w:r w:rsidRPr="003A7E3B">
        <w:rPr>
          <w:rFonts w:eastAsia="Times New Roman" w:cs="Arial"/>
          <w:lang w:eastAsia="en-AU"/>
        </w:rPr>
        <w:t xml:space="preserve"> </w:t>
      </w:r>
      <w:r w:rsidRPr="003A7E3B">
        <w:rPr>
          <w:rFonts w:cs="Arial"/>
          <w:lang w:val="en-US"/>
        </w:rPr>
        <w:t xml:space="preserve">The purpose of entrustment discussions (also known as entrustment-based discussions or EBD) is to provide an assessor with more information about the intern’s: </w:t>
      </w:r>
    </w:p>
    <w:p w14:paraId="72D40B85" w14:textId="7C8C4F6A" w:rsidR="003A7E3B" w:rsidRPr="003A7E3B" w:rsidRDefault="003A7E3B" w:rsidP="003A7E3B">
      <w:pPr>
        <w:pStyle w:val="ListParagraph"/>
        <w:numPr>
          <w:ilvl w:val="0"/>
          <w:numId w:val="6"/>
        </w:numPr>
        <w:spacing w:after="120"/>
        <w:rPr>
          <w:rFonts w:cs="Arial"/>
          <w:lang w:val="en-US"/>
        </w:rPr>
      </w:pPr>
      <w:r w:rsidRPr="003A7E3B">
        <w:rPr>
          <w:rFonts w:cs="Arial"/>
          <w:lang w:val="en-US"/>
        </w:rPr>
        <w:t>understanding of an activity that has been comp</w:t>
      </w:r>
      <w:r w:rsidR="004A7335">
        <w:rPr>
          <w:rFonts w:cs="Arial"/>
          <w:lang w:val="en-US"/>
        </w:rPr>
        <w:t>l</w:t>
      </w:r>
      <w:r w:rsidRPr="003A7E3B">
        <w:rPr>
          <w:rFonts w:cs="Arial"/>
          <w:lang w:val="en-US"/>
        </w:rPr>
        <w:t>eted</w:t>
      </w:r>
    </w:p>
    <w:p w14:paraId="4BCAE1C1" w14:textId="77777777" w:rsidR="003A7E3B" w:rsidRPr="003A7E3B" w:rsidRDefault="003A7E3B" w:rsidP="003A7E3B">
      <w:pPr>
        <w:pStyle w:val="ListParagraph"/>
        <w:numPr>
          <w:ilvl w:val="0"/>
          <w:numId w:val="6"/>
        </w:numPr>
        <w:spacing w:after="120"/>
        <w:rPr>
          <w:rFonts w:cs="Arial"/>
          <w:lang w:val="en-US"/>
        </w:rPr>
      </w:pPr>
      <w:r w:rsidRPr="003A7E3B">
        <w:rPr>
          <w:rFonts w:cs="Arial"/>
          <w:lang w:val="en-US"/>
        </w:rPr>
        <w:t>underlying knowledge, judgement and reasoning associated with the activity</w:t>
      </w:r>
    </w:p>
    <w:p w14:paraId="41438D71" w14:textId="77777777" w:rsidR="003A7E3B" w:rsidRPr="003A7E3B" w:rsidRDefault="003A7E3B" w:rsidP="003A7E3B">
      <w:pPr>
        <w:pStyle w:val="ListParagraph"/>
        <w:numPr>
          <w:ilvl w:val="0"/>
          <w:numId w:val="6"/>
        </w:numPr>
        <w:spacing w:after="120"/>
        <w:rPr>
          <w:rFonts w:cs="Arial"/>
          <w:lang w:val="en-US"/>
        </w:rPr>
      </w:pPr>
      <w:r w:rsidRPr="003A7E3B">
        <w:rPr>
          <w:rFonts w:cs="Arial"/>
          <w:lang w:val="en-US"/>
        </w:rPr>
        <w:t>appreciation and assessment of the risks and/or complications associated with the activity</w:t>
      </w:r>
    </w:p>
    <w:p w14:paraId="57960A35" w14:textId="49F49C9F" w:rsidR="003A7E3B" w:rsidRPr="003A7E3B" w:rsidRDefault="003A7E3B" w:rsidP="003A7E3B">
      <w:pPr>
        <w:pStyle w:val="ListParagraph"/>
        <w:numPr>
          <w:ilvl w:val="0"/>
          <w:numId w:val="6"/>
        </w:numPr>
        <w:spacing w:after="120"/>
        <w:rPr>
          <w:rFonts w:cs="Arial"/>
          <w:lang w:val="en-US"/>
        </w:rPr>
      </w:pPr>
      <w:r w:rsidRPr="003A7E3B">
        <w:rPr>
          <w:rFonts w:cs="Arial"/>
          <w:lang w:val="en-US"/>
        </w:rPr>
        <w:t>recognition of and potential response to situations or patients which differed from what was encountered in the activity (ten Cate et al, 2018)</w:t>
      </w:r>
      <w:r w:rsidR="00E554E3">
        <w:rPr>
          <w:rFonts w:cs="Arial"/>
          <w:lang w:val="en-US"/>
        </w:rPr>
        <w:t>.</w:t>
      </w:r>
      <w:r w:rsidRPr="003A7E3B">
        <w:rPr>
          <w:rFonts w:cs="Arial"/>
          <w:lang w:val="en-US"/>
        </w:rPr>
        <w:t xml:space="preserve"> </w:t>
      </w:r>
    </w:p>
    <w:p w14:paraId="07A546C2" w14:textId="16BCA554" w:rsidR="003A7E3B" w:rsidRPr="003A7E3B" w:rsidRDefault="003A7E3B" w:rsidP="003A7E3B">
      <w:pPr>
        <w:contextualSpacing/>
        <w:rPr>
          <w:rFonts w:cs="Arial"/>
          <w:lang w:val="en-US"/>
        </w:rPr>
      </w:pPr>
      <w:r w:rsidRPr="003A7E3B">
        <w:rPr>
          <w:rFonts w:cs="Arial"/>
          <w:lang w:val="en-US"/>
        </w:rPr>
        <w:t>In other words, the entrustment discussion focuses on more than simply feedback about the intern’s actual performance of the EPA, but looks forward to future performance when the context, patient and parameters may be different; the assessor judges the</w:t>
      </w:r>
      <w:r w:rsidR="000F1516">
        <w:rPr>
          <w:rFonts w:cs="Arial"/>
          <w:lang w:val="en-US"/>
        </w:rPr>
        <w:t xml:space="preserve"> readiness of the intern to perform a task with a new level of responsibility which requires a lower level of supervision</w:t>
      </w:r>
      <w:r w:rsidRPr="003A7E3B">
        <w:rPr>
          <w:rFonts w:cs="Arial"/>
          <w:lang w:val="en-US"/>
        </w:rPr>
        <w:t>. Within each APC EPA, guidance is provided about the structure of the entrustment discussion, but in general it features four areas of exploration:</w:t>
      </w:r>
    </w:p>
    <w:p w14:paraId="6A982B8F" w14:textId="703C0286" w:rsidR="003A7E3B" w:rsidRPr="003A7E3B" w:rsidRDefault="001C2077" w:rsidP="003A7E3B">
      <w:pPr>
        <w:pStyle w:val="ListParagraph"/>
        <w:numPr>
          <w:ilvl w:val="0"/>
          <w:numId w:val="7"/>
        </w:numPr>
        <w:spacing w:after="120"/>
        <w:rPr>
          <w:rFonts w:cs="Arial"/>
          <w:lang w:val="en-US"/>
        </w:rPr>
      </w:pPr>
      <w:r>
        <w:rPr>
          <w:rFonts w:cs="Arial"/>
          <w:lang w:val="en-US"/>
        </w:rPr>
        <w:lastRenderedPageBreak/>
        <w:t>W</w:t>
      </w:r>
      <w:r w:rsidR="003A7E3B" w:rsidRPr="003A7E3B">
        <w:rPr>
          <w:rFonts w:cs="Arial"/>
          <w:lang w:val="en-US"/>
        </w:rPr>
        <w:t xml:space="preserve">hat the intern </w:t>
      </w:r>
      <w:proofErr w:type="gramStart"/>
      <w:r w:rsidR="003A7E3B" w:rsidRPr="003A7E3B">
        <w:rPr>
          <w:rFonts w:cs="Arial"/>
          <w:lang w:val="en-US"/>
        </w:rPr>
        <w:t>actually did</w:t>
      </w:r>
      <w:proofErr w:type="gramEnd"/>
      <w:r>
        <w:rPr>
          <w:rFonts w:cs="Arial"/>
          <w:lang w:val="en-US"/>
        </w:rPr>
        <w:t>.</w:t>
      </w:r>
    </w:p>
    <w:p w14:paraId="6ACBF7CB" w14:textId="4632B192" w:rsidR="003A7E3B" w:rsidRPr="003A7E3B" w:rsidRDefault="001C2077" w:rsidP="003A7E3B">
      <w:pPr>
        <w:pStyle w:val="ListParagraph"/>
        <w:numPr>
          <w:ilvl w:val="0"/>
          <w:numId w:val="7"/>
        </w:numPr>
        <w:spacing w:after="120"/>
        <w:rPr>
          <w:rFonts w:cs="Arial"/>
          <w:lang w:val="en-US"/>
        </w:rPr>
      </w:pPr>
      <w:r>
        <w:rPr>
          <w:rFonts w:cs="Arial"/>
          <w:lang w:val="en-US"/>
        </w:rPr>
        <w:t>T</w:t>
      </w:r>
      <w:r w:rsidR="003A7E3B" w:rsidRPr="003A7E3B">
        <w:rPr>
          <w:rFonts w:cs="Arial"/>
          <w:lang w:val="en-US"/>
        </w:rPr>
        <w:t xml:space="preserve">he intern’s background </w:t>
      </w:r>
      <w:proofErr w:type="gramStart"/>
      <w:r w:rsidR="003A7E3B" w:rsidRPr="003A7E3B">
        <w:rPr>
          <w:rFonts w:cs="Arial"/>
          <w:lang w:val="en-US"/>
        </w:rPr>
        <w:t>understanding</w:t>
      </w:r>
      <w:proofErr w:type="gramEnd"/>
      <w:r w:rsidR="003A7E3B" w:rsidRPr="003A7E3B">
        <w:rPr>
          <w:rFonts w:cs="Arial"/>
          <w:lang w:val="en-US"/>
        </w:rPr>
        <w:t xml:space="preserve"> and reasoning related to the EPA</w:t>
      </w:r>
      <w:r>
        <w:rPr>
          <w:rFonts w:cs="Arial"/>
          <w:lang w:val="en-US"/>
        </w:rPr>
        <w:t>.</w:t>
      </w:r>
    </w:p>
    <w:p w14:paraId="2DEE27B3" w14:textId="0C036491" w:rsidR="003A7E3B" w:rsidRPr="003A7E3B" w:rsidRDefault="001C2077" w:rsidP="003A7E3B">
      <w:pPr>
        <w:pStyle w:val="ListParagraph"/>
        <w:numPr>
          <w:ilvl w:val="0"/>
          <w:numId w:val="7"/>
        </w:numPr>
        <w:spacing w:after="120"/>
        <w:rPr>
          <w:rFonts w:cs="Arial"/>
          <w:lang w:val="en-US"/>
        </w:rPr>
      </w:pPr>
      <w:r>
        <w:rPr>
          <w:rFonts w:cs="Arial"/>
          <w:lang w:val="en-US"/>
        </w:rPr>
        <w:t>A</w:t>
      </w:r>
      <w:r w:rsidR="003A7E3B" w:rsidRPr="003A7E3B">
        <w:rPr>
          <w:rFonts w:cs="Arial"/>
          <w:lang w:val="en-US"/>
        </w:rPr>
        <w:t>wareness of risks and/or complications</w:t>
      </w:r>
      <w:r>
        <w:rPr>
          <w:rFonts w:cs="Arial"/>
          <w:lang w:val="en-US"/>
        </w:rPr>
        <w:t>.</w:t>
      </w:r>
    </w:p>
    <w:p w14:paraId="2475C8BC" w14:textId="3010C369" w:rsidR="003A7E3B" w:rsidRDefault="001C2077" w:rsidP="003A7E3B">
      <w:pPr>
        <w:pStyle w:val="ListParagraph"/>
        <w:numPr>
          <w:ilvl w:val="0"/>
          <w:numId w:val="7"/>
        </w:numPr>
        <w:spacing w:after="120"/>
        <w:rPr>
          <w:rFonts w:cs="Arial"/>
          <w:lang w:val="en-US"/>
        </w:rPr>
      </w:pPr>
      <w:r>
        <w:rPr>
          <w:rFonts w:cs="Arial"/>
          <w:lang w:val="en-US"/>
        </w:rPr>
        <w:t>H</w:t>
      </w:r>
      <w:r w:rsidR="003A7E3B" w:rsidRPr="003A7E3B">
        <w:rPr>
          <w:rFonts w:cs="Arial"/>
          <w:lang w:val="en-US"/>
        </w:rPr>
        <w:t>ow the intern’s actions would have changed if the situation or patient had been different for any reason</w:t>
      </w:r>
      <w:r>
        <w:rPr>
          <w:rFonts w:cs="Arial"/>
          <w:lang w:val="en-US"/>
        </w:rPr>
        <w:t>.</w:t>
      </w:r>
    </w:p>
    <w:p w14:paraId="0E2570E2" w14:textId="68C3717E" w:rsidR="001379DE" w:rsidRPr="001379DE" w:rsidRDefault="001379DE" w:rsidP="001379DE">
      <w:pPr>
        <w:rPr>
          <w:rFonts w:cs="Arial"/>
          <w:lang w:val="en-US"/>
        </w:rPr>
      </w:pPr>
      <w:r>
        <w:rPr>
          <w:rFonts w:cs="Arial"/>
          <w:lang w:val="en-US"/>
        </w:rPr>
        <w:t xml:space="preserve">Entrustment discussions do not necessarily cease once a supervisor deems that the intern is entrustable at level 4 on a particular EPA. If a particular EPA is not </w:t>
      </w:r>
      <w:proofErr w:type="spellStart"/>
      <w:r>
        <w:rPr>
          <w:rFonts w:cs="Arial"/>
          <w:lang w:val="en-US"/>
        </w:rPr>
        <w:t>practised</w:t>
      </w:r>
      <w:proofErr w:type="spellEnd"/>
      <w:r>
        <w:rPr>
          <w:rFonts w:cs="Arial"/>
          <w:lang w:val="en-US"/>
        </w:rPr>
        <w:t xml:space="preserve"> regularly, there is a potential for a decline in performance which may result in the intern no longer rem</w:t>
      </w:r>
      <w:r w:rsidR="00B81B43">
        <w:rPr>
          <w:rFonts w:cs="Arial"/>
          <w:lang w:val="en-US"/>
        </w:rPr>
        <w:t>a</w:t>
      </w:r>
      <w:r>
        <w:rPr>
          <w:rFonts w:cs="Arial"/>
          <w:lang w:val="en-US"/>
        </w:rPr>
        <w:t>ining entrustable</w:t>
      </w:r>
      <w:r w:rsidR="00EB787F">
        <w:rPr>
          <w:rFonts w:cs="Arial"/>
          <w:lang w:val="en-US"/>
        </w:rPr>
        <w:t xml:space="preserve"> at the current level</w:t>
      </w:r>
      <w:r>
        <w:rPr>
          <w:rFonts w:cs="Arial"/>
          <w:lang w:val="en-US"/>
        </w:rPr>
        <w:t xml:space="preserve">. </w:t>
      </w:r>
      <w:r w:rsidR="00B81B43">
        <w:rPr>
          <w:rFonts w:cs="Arial"/>
          <w:lang w:val="en-US"/>
        </w:rPr>
        <w:t>Supervisors should be alert for this possibility, and if any doubt exists, re-assessment of the level of entrustment should be undertaken.</w:t>
      </w:r>
    </w:p>
    <w:p w14:paraId="57CC6243" w14:textId="77777777" w:rsidR="003A7E3B" w:rsidRPr="003A7E3B" w:rsidRDefault="003A7E3B" w:rsidP="003A7E3B">
      <w:pPr>
        <w:pStyle w:val="Heading3"/>
        <w:rPr>
          <w:lang w:val="en-US"/>
        </w:rPr>
      </w:pPr>
      <w:bookmarkStart w:id="17" w:name="_Toc65227176"/>
      <w:bookmarkStart w:id="18" w:name="_Toc70607192"/>
      <w:r w:rsidRPr="003A7E3B">
        <w:rPr>
          <w:lang w:val="en-US"/>
        </w:rPr>
        <w:t>Products</w:t>
      </w:r>
      <w:bookmarkEnd w:id="17"/>
      <w:bookmarkEnd w:id="18"/>
    </w:p>
    <w:p w14:paraId="56E299FA" w14:textId="5E1F5152" w:rsidR="003A7E3B" w:rsidRPr="003A7E3B" w:rsidRDefault="003A7E3B" w:rsidP="003A7E3B">
      <w:pPr>
        <w:contextualSpacing/>
        <w:rPr>
          <w:rFonts w:cs="Arial"/>
          <w:lang w:val="en-US"/>
        </w:rPr>
      </w:pPr>
      <w:r w:rsidRPr="003A7E3B">
        <w:rPr>
          <w:rFonts w:cs="Arial"/>
          <w:lang w:val="en-US"/>
        </w:rPr>
        <w:t xml:space="preserve">Some EPAs involve the generation of a physical product, such as a dispensed medication or an extemporaneously prepared formulation. Assessment of the completeness, quality, </w:t>
      </w:r>
      <w:proofErr w:type="gramStart"/>
      <w:r w:rsidRPr="003A7E3B">
        <w:rPr>
          <w:rFonts w:cs="Arial"/>
          <w:lang w:val="en-US"/>
        </w:rPr>
        <w:t>accuracy</w:t>
      </w:r>
      <w:proofErr w:type="gramEnd"/>
      <w:r w:rsidRPr="003A7E3B">
        <w:rPr>
          <w:rFonts w:cs="Arial"/>
          <w:lang w:val="en-US"/>
        </w:rPr>
        <w:t xml:space="preserve"> and other aspects of the product provide additional evidence of the intern’s readiness to </w:t>
      </w:r>
      <w:r w:rsidR="000549F4">
        <w:rPr>
          <w:rFonts w:cs="Arial"/>
          <w:lang w:val="en-US"/>
        </w:rPr>
        <w:t>perform</w:t>
      </w:r>
      <w:r w:rsidR="000549F4" w:rsidRPr="003A7E3B">
        <w:rPr>
          <w:rFonts w:cs="Arial"/>
          <w:lang w:val="en-US"/>
        </w:rPr>
        <w:t xml:space="preserve"> </w:t>
      </w:r>
      <w:r w:rsidRPr="003A7E3B">
        <w:rPr>
          <w:rFonts w:cs="Arial"/>
          <w:lang w:val="en-US"/>
        </w:rPr>
        <w:t xml:space="preserve">the EPA at a lower level of supervision. </w:t>
      </w:r>
    </w:p>
    <w:p w14:paraId="6AAFDDB9" w14:textId="09AA59C7" w:rsidR="003A7E3B" w:rsidRPr="00703E51" w:rsidRDefault="003A7E3B" w:rsidP="00EB1B21">
      <w:pPr>
        <w:pStyle w:val="Heading1"/>
        <w:rPr>
          <w:lang w:val="en-US"/>
        </w:rPr>
      </w:pPr>
      <w:bookmarkStart w:id="19" w:name="_Toc65227177"/>
      <w:bookmarkStart w:id="20" w:name="_Toc70607193"/>
      <w:r w:rsidRPr="00703E51">
        <w:rPr>
          <w:lang w:val="en-US"/>
        </w:rPr>
        <w:t>References</w:t>
      </w:r>
      <w:bookmarkEnd w:id="19"/>
      <w:bookmarkEnd w:id="20"/>
    </w:p>
    <w:p w14:paraId="25C9A9B1" w14:textId="067D4912" w:rsidR="00556A73" w:rsidRDefault="00556A73" w:rsidP="003A7E3B">
      <w:pPr>
        <w:rPr>
          <w:rFonts w:cs="Arial"/>
          <w:szCs w:val="20"/>
          <w:lang w:val="en-US"/>
        </w:rPr>
      </w:pPr>
      <w:r w:rsidRPr="00556A73">
        <w:rPr>
          <w:rFonts w:cs="Arial"/>
          <w:szCs w:val="20"/>
          <w:lang w:val="en-US"/>
        </w:rPr>
        <w:t>ten Cate O.</w:t>
      </w:r>
      <w:r>
        <w:rPr>
          <w:rFonts w:cs="Arial"/>
          <w:szCs w:val="20"/>
          <w:lang w:val="en-US"/>
        </w:rPr>
        <w:t xml:space="preserve"> </w:t>
      </w:r>
      <w:r w:rsidRPr="00556A73">
        <w:rPr>
          <w:rFonts w:cs="Arial"/>
          <w:szCs w:val="20"/>
          <w:lang w:val="en-US"/>
        </w:rPr>
        <w:t>(2013).</w:t>
      </w:r>
      <w:r>
        <w:rPr>
          <w:rFonts w:cs="Arial"/>
          <w:szCs w:val="20"/>
          <w:lang w:val="en-US"/>
        </w:rPr>
        <w:t xml:space="preserve"> </w:t>
      </w:r>
      <w:r w:rsidRPr="00556A73">
        <w:rPr>
          <w:rFonts w:cs="Arial"/>
          <w:szCs w:val="20"/>
          <w:lang w:val="en-US"/>
        </w:rPr>
        <w:t>The nuts and bolts of Entrustable Professional Activities.</w:t>
      </w:r>
      <w:r>
        <w:rPr>
          <w:rFonts w:cs="Arial"/>
          <w:szCs w:val="20"/>
          <w:lang w:val="en-US"/>
        </w:rPr>
        <w:t xml:space="preserve"> </w:t>
      </w:r>
      <w:r w:rsidRPr="00556A73">
        <w:rPr>
          <w:rFonts w:cs="Arial"/>
          <w:szCs w:val="20"/>
          <w:lang w:val="en-US"/>
        </w:rPr>
        <w:t xml:space="preserve">Journal of Graduate Medical Education </w:t>
      </w:r>
      <w:r>
        <w:rPr>
          <w:rFonts w:cs="Arial"/>
          <w:szCs w:val="20"/>
          <w:lang w:val="en-US"/>
        </w:rPr>
        <w:t>(</w:t>
      </w:r>
      <w:r w:rsidRPr="00556A73">
        <w:rPr>
          <w:rFonts w:cs="Arial"/>
          <w:szCs w:val="20"/>
          <w:lang w:val="en-US"/>
        </w:rPr>
        <w:t>March</w:t>
      </w:r>
      <w:r>
        <w:rPr>
          <w:rFonts w:cs="Arial"/>
          <w:szCs w:val="20"/>
          <w:lang w:val="en-US"/>
        </w:rPr>
        <w:t>)</w:t>
      </w:r>
      <w:r w:rsidRPr="00556A73">
        <w:rPr>
          <w:rFonts w:cs="Arial"/>
          <w:szCs w:val="20"/>
          <w:lang w:val="en-US"/>
        </w:rPr>
        <w:t xml:space="preserve"> pp. 157-158.</w:t>
      </w:r>
    </w:p>
    <w:p w14:paraId="77D9F226" w14:textId="3DACB5DD" w:rsidR="003A7E3B" w:rsidRPr="003A7E3B" w:rsidRDefault="003A7E3B" w:rsidP="003A7E3B">
      <w:pPr>
        <w:rPr>
          <w:rFonts w:cs="Arial"/>
          <w:szCs w:val="20"/>
          <w:lang w:val="en-US"/>
        </w:rPr>
      </w:pPr>
      <w:r w:rsidRPr="003A7E3B">
        <w:rPr>
          <w:rFonts w:cs="Arial"/>
          <w:szCs w:val="20"/>
          <w:lang w:val="en-US"/>
        </w:rPr>
        <w:t xml:space="preserve">ten Cate O., </w:t>
      </w:r>
      <w:proofErr w:type="spellStart"/>
      <w:r w:rsidRPr="003A7E3B">
        <w:rPr>
          <w:rFonts w:cs="Arial"/>
          <w:szCs w:val="20"/>
          <w:lang w:val="en-US"/>
        </w:rPr>
        <w:t>Carraccio</w:t>
      </w:r>
      <w:proofErr w:type="spellEnd"/>
      <w:r w:rsidRPr="003A7E3B">
        <w:rPr>
          <w:rFonts w:cs="Arial"/>
          <w:szCs w:val="20"/>
          <w:lang w:val="en-US"/>
        </w:rPr>
        <w:t xml:space="preserve"> C., Damodaran A., </w:t>
      </w:r>
      <w:proofErr w:type="spellStart"/>
      <w:r w:rsidRPr="003A7E3B">
        <w:rPr>
          <w:rFonts w:cs="Arial"/>
          <w:szCs w:val="20"/>
          <w:lang w:val="en-US"/>
        </w:rPr>
        <w:t>Gofton</w:t>
      </w:r>
      <w:proofErr w:type="spellEnd"/>
      <w:r w:rsidRPr="003A7E3B">
        <w:rPr>
          <w:rFonts w:cs="Arial"/>
          <w:szCs w:val="20"/>
          <w:lang w:val="en-US"/>
        </w:rPr>
        <w:t xml:space="preserve"> W., </w:t>
      </w:r>
      <w:proofErr w:type="spellStart"/>
      <w:r w:rsidRPr="003A7E3B">
        <w:rPr>
          <w:rFonts w:cs="Arial"/>
          <w:szCs w:val="20"/>
          <w:lang w:val="en-US"/>
        </w:rPr>
        <w:t>Hamstra</w:t>
      </w:r>
      <w:proofErr w:type="spellEnd"/>
      <w:r w:rsidRPr="003A7E3B">
        <w:rPr>
          <w:rFonts w:cs="Arial"/>
          <w:szCs w:val="20"/>
          <w:lang w:val="en-US"/>
        </w:rPr>
        <w:t xml:space="preserve"> S., Hart D., Richardson D., Ross S., Schultz K., Warm E., Whelan A. &amp; Schumacher D.</w:t>
      </w:r>
      <w:r w:rsidR="001B3F80">
        <w:rPr>
          <w:rFonts w:cs="Arial"/>
          <w:szCs w:val="20"/>
          <w:lang w:val="en-US"/>
        </w:rPr>
        <w:t xml:space="preserve"> (</w:t>
      </w:r>
      <w:r w:rsidRPr="003A7E3B">
        <w:rPr>
          <w:rFonts w:cs="Arial"/>
          <w:szCs w:val="20"/>
          <w:lang w:val="en-US"/>
        </w:rPr>
        <w:t>2021). Entrustment Decision Making: Extending Miller’s Pyramid. Academic Medicine 96:199-204.</w:t>
      </w:r>
    </w:p>
    <w:p w14:paraId="7F2B83E0" w14:textId="77777777" w:rsidR="003A7E3B" w:rsidRPr="000D6628" w:rsidRDefault="003A7E3B" w:rsidP="003A7E3B">
      <w:pPr>
        <w:rPr>
          <w:rFonts w:cs="Arial"/>
          <w:szCs w:val="20"/>
          <w:lang w:val="nl-NL"/>
        </w:rPr>
      </w:pPr>
      <w:r w:rsidRPr="003A7E3B">
        <w:rPr>
          <w:rFonts w:cs="Arial"/>
          <w:szCs w:val="20"/>
          <w:lang w:val="en-US"/>
        </w:rPr>
        <w:t xml:space="preserve">ten Cate O. &amp; Chen H. (2020). The ingredients of a rich entrustment decision. </w:t>
      </w:r>
      <w:r w:rsidRPr="000D6628">
        <w:rPr>
          <w:rFonts w:cs="Arial"/>
          <w:szCs w:val="20"/>
          <w:lang w:val="nl-NL"/>
        </w:rPr>
        <w:t>Medical Teacher 42(12):1413-1420.</w:t>
      </w:r>
    </w:p>
    <w:p w14:paraId="436F341E" w14:textId="77777777" w:rsidR="003A7E3B" w:rsidRPr="000D6628" w:rsidRDefault="003A7E3B" w:rsidP="003A7E3B">
      <w:pPr>
        <w:rPr>
          <w:rFonts w:cs="Arial"/>
          <w:szCs w:val="20"/>
          <w:lang w:val="nl-NL"/>
        </w:rPr>
      </w:pPr>
      <w:r w:rsidRPr="000D6628">
        <w:rPr>
          <w:rFonts w:cs="Arial"/>
          <w:szCs w:val="20"/>
          <w:lang w:val="nl-NL"/>
        </w:rPr>
        <w:t xml:space="preserve">ten Cate O., Chen H., Hoff R., Peters H., Bok H. &amp; van der Schaaf M. (2015). </w:t>
      </w:r>
      <w:r w:rsidRPr="003A7E3B">
        <w:rPr>
          <w:rFonts w:cs="Arial"/>
          <w:szCs w:val="20"/>
          <w:lang w:val="en-US"/>
        </w:rPr>
        <w:t xml:space="preserve">Curriculum development for the workplace using Entrustable Professional Activities (EPAs): AMEE Guide No. 99. </w:t>
      </w:r>
      <w:r w:rsidRPr="000D6628">
        <w:rPr>
          <w:rFonts w:cs="Arial"/>
          <w:szCs w:val="20"/>
          <w:lang w:val="nl-NL"/>
        </w:rPr>
        <w:t>Medical Teacher 7(11):983-1002.</w:t>
      </w:r>
    </w:p>
    <w:p w14:paraId="1C2F3399" w14:textId="77777777" w:rsidR="003A7E3B" w:rsidRPr="003A7E3B" w:rsidRDefault="003A7E3B" w:rsidP="003A7E3B">
      <w:pPr>
        <w:rPr>
          <w:rFonts w:cs="Arial"/>
          <w:szCs w:val="20"/>
          <w:lang w:val="en-US"/>
        </w:rPr>
      </w:pPr>
      <w:r w:rsidRPr="000D6628">
        <w:rPr>
          <w:rFonts w:cs="Arial"/>
          <w:szCs w:val="20"/>
          <w:lang w:val="nl-NL"/>
        </w:rPr>
        <w:t xml:space="preserve">ten Cate O., Graafmans L., Posthumus I., Welink L &amp; van Dijk M. (2018). </w:t>
      </w:r>
      <w:r w:rsidRPr="003A7E3B">
        <w:rPr>
          <w:rFonts w:cs="Arial"/>
          <w:szCs w:val="20"/>
          <w:lang w:val="en-US"/>
        </w:rPr>
        <w:t>The EPA-based Utrecht undergraduate clinical curriculum: Development and implementation. Medical Teacher 40(5):506-513.</w:t>
      </w:r>
    </w:p>
    <w:p w14:paraId="59DB401C" w14:textId="77777777" w:rsidR="003A7E3B" w:rsidRPr="003A7E3B" w:rsidRDefault="003A7E3B" w:rsidP="003A7E3B">
      <w:pPr>
        <w:rPr>
          <w:rFonts w:cs="Arial"/>
          <w:szCs w:val="20"/>
          <w:lang w:val="en-US"/>
        </w:rPr>
      </w:pPr>
      <w:r w:rsidRPr="003A7E3B">
        <w:rPr>
          <w:rFonts w:cs="Arial"/>
          <w:szCs w:val="20"/>
          <w:lang w:val="en-US"/>
        </w:rPr>
        <w:t xml:space="preserve">ten Cate O. &amp; Taylor D. (2020). The recommended description of an entrustable professional activity: AMEE Guide No. 140. Medical Teacher (Online). Last accessed 2 February 2021 at </w:t>
      </w:r>
      <w:hyperlink r:id="rId14" w:history="1">
        <w:r w:rsidRPr="003A7E3B">
          <w:rPr>
            <w:rStyle w:val="Hyperlink"/>
            <w:rFonts w:cs="Arial"/>
            <w:szCs w:val="20"/>
            <w:lang w:val="en-US"/>
          </w:rPr>
          <w:t>https://doi.org/10.1080/0142159X.2020.1838465</w:t>
        </w:r>
      </w:hyperlink>
      <w:r w:rsidRPr="003A7E3B">
        <w:rPr>
          <w:rFonts w:cs="Arial"/>
          <w:szCs w:val="20"/>
          <w:lang w:val="en-US"/>
        </w:rPr>
        <w:t xml:space="preserve">  </w:t>
      </w:r>
    </w:p>
    <w:p w14:paraId="4B374F9B" w14:textId="77777777" w:rsidR="003A7E3B" w:rsidRDefault="003A7E3B" w:rsidP="003A7E3B">
      <w:pPr>
        <w:spacing w:after="0"/>
        <w:contextualSpacing/>
        <w:rPr>
          <w:rFonts w:asciiTheme="majorHAnsi" w:hAnsiTheme="majorHAnsi" w:cstheme="majorHAnsi"/>
          <w:lang w:val="en-US"/>
        </w:rPr>
      </w:pPr>
    </w:p>
    <w:p w14:paraId="489AA822" w14:textId="77777777" w:rsidR="00183B03" w:rsidRDefault="00183B03">
      <w:pPr>
        <w:spacing w:after="160" w:line="259" w:lineRule="auto"/>
        <w:rPr>
          <w:rStyle w:val="IntenseEmphasis"/>
          <w:i w:val="0"/>
          <w:iCs w:val="0"/>
          <w:color w:val="auto"/>
        </w:rPr>
        <w:sectPr w:rsidR="00183B03" w:rsidSect="003A7E3B">
          <w:pgSz w:w="11906" w:h="16838" w:code="9"/>
          <w:pgMar w:top="2268" w:right="1134" w:bottom="1588" w:left="1134" w:header="709" w:footer="41" w:gutter="0"/>
          <w:cols w:space="708"/>
          <w:docGrid w:linePitch="360"/>
        </w:sectPr>
      </w:pPr>
    </w:p>
    <w:p w14:paraId="586E575E" w14:textId="77777777" w:rsidR="00663D4B" w:rsidRPr="00663D4B" w:rsidRDefault="00663D4B" w:rsidP="00663D4B"/>
    <w:p w14:paraId="1C1A84FF" w14:textId="77777777" w:rsidR="00663D4B" w:rsidRPr="00663D4B" w:rsidRDefault="00663D4B" w:rsidP="00663D4B"/>
    <w:p w14:paraId="406CE7EE" w14:textId="77777777" w:rsidR="00663D4B" w:rsidRPr="00663D4B" w:rsidRDefault="00663D4B" w:rsidP="00663D4B"/>
    <w:p w14:paraId="2D0A5F44" w14:textId="77777777" w:rsidR="00663D4B" w:rsidRPr="00663D4B" w:rsidRDefault="00663D4B" w:rsidP="00663D4B"/>
    <w:p w14:paraId="01F58A53" w14:textId="77777777" w:rsidR="00663D4B" w:rsidRPr="00663D4B" w:rsidRDefault="00663D4B" w:rsidP="00663D4B"/>
    <w:p w14:paraId="43C844BB" w14:textId="77777777" w:rsidR="00663D4B" w:rsidRPr="00663D4B" w:rsidRDefault="00663D4B" w:rsidP="00663D4B"/>
    <w:p w14:paraId="750184B6" w14:textId="77777777" w:rsidR="00663D4B" w:rsidRPr="00663D4B" w:rsidRDefault="00663D4B" w:rsidP="00663D4B"/>
    <w:p w14:paraId="564D3599" w14:textId="77777777" w:rsidR="00663D4B" w:rsidRPr="00663D4B" w:rsidRDefault="00663D4B" w:rsidP="00663D4B"/>
    <w:p w14:paraId="6B0E159B" w14:textId="77777777" w:rsidR="00663D4B" w:rsidRPr="00663D4B" w:rsidRDefault="00663D4B" w:rsidP="00663D4B"/>
    <w:p w14:paraId="165FD226" w14:textId="77777777" w:rsidR="00663D4B" w:rsidRPr="00663D4B" w:rsidRDefault="00663D4B" w:rsidP="00663D4B"/>
    <w:p w14:paraId="750DB293" w14:textId="77777777" w:rsidR="00663D4B" w:rsidRPr="00663D4B" w:rsidRDefault="00663D4B" w:rsidP="00663D4B"/>
    <w:p w14:paraId="2988A924" w14:textId="77777777" w:rsidR="00663D4B" w:rsidRPr="00663D4B" w:rsidRDefault="00663D4B" w:rsidP="00663D4B"/>
    <w:p w14:paraId="7ACD87BE" w14:textId="77777777" w:rsidR="00663D4B" w:rsidRPr="00663D4B" w:rsidRDefault="00663D4B" w:rsidP="00663D4B"/>
    <w:p w14:paraId="39DD70AC" w14:textId="77777777" w:rsidR="00663D4B" w:rsidRPr="00663D4B" w:rsidRDefault="00663D4B" w:rsidP="00663D4B"/>
    <w:p w14:paraId="7F3838A4" w14:textId="77777777" w:rsidR="00663D4B" w:rsidRPr="00663D4B" w:rsidRDefault="00663D4B" w:rsidP="00663D4B"/>
    <w:p w14:paraId="2AE1FAB1" w14:textId="77777777" w:rsidR="00663D4B" w:rsidRPr="00663D4B" w:rsidRDefault="00663D4B" w:rsidP="00663D4B"/>
    <w:p w14:paraId="3A5B2FBE" w14:textId="77777777" w:rsidR="00663D4B" w:rsidRPr="00663D4B" w:rsidRDefault="00663D4B" w:rsidP="00663D4B"/>
    <w:p w14:paraId="574364E3" w14:textId="77777777" w:rsidR="00663D4B" w:rsidRDefault="00663D4B" w:rsidP="00663D4B"/>
    <w:p w14:paraId="4F8242A3" w14:textId="77777777" w:rsidR="00663D4B" w:rsidRDefault="00663D4B" w:rsidP="00663D4B"/>
    <w:p w14:paraId="53434FD0" w14:textId="77777777" w:rsidR="00FA4A14" w:rsidRPr="00663D4B" w:rsidRDefault="00663D4B" w:rsidP="007F2FE5">
      <w:pPr>
        <w:cnfStyle w:val="001000000000" w:firstRow="0" w:lastRow="0" w:firstColumn="1" w:lastColumn="0" w:oddVBand="0" w:evenVBand="0" w:oddHBand="0" w:evenHBand="0" w:firstRowFirstColumn="0" w:firstRowLastColumn="0" w:lastRowFirstColumn="0" w:lastRowLastColumn="0"/>
      </w:pPr>
      <w:r>
        <w:tab/>
      </w:r>
    </w:p>
    <w:sectPr w:rsidR="00FA4A14" w:rsidRPr="00663D4B" w:rsidSect="004F0D95">
      <w:footerReference w:type="default" r:id="rId15"/>
      <w:pgSz w:w="11906" w:h="16838" w:code="9"/>
      <w:pgMar w:top="2268" w:right="1134" w:bottom="255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70EF4" w14:textId="77777777" w:rsidR="00CB654E" w:rsidRDefault="00CB654E" w:rsidP="00793A81">
      <w:pPr>
        <w:spacing w:after="0"/>
      </w:pPr>
      <w:r>
        <w:separator/>
      </w:r>
    </w:p>
  </w:endnote>
  <w:endnote w:type="continuationSeparator" w:id="0">
    <w:p w14:paraId="441508C7" w14:textId="77777777" w:rsidR="00CB654E" w:rsidRDefault="00CB654E" w:rsidP="00793A81">
      <w:pPr>
        <w:spacing w:after="0"/>
      </w:pPr>
      <w:r>
        <w:continuationSeparator/>
      </w:r>
    </w:p>
  </w:endnote>
  <w:endnote w:type="continuationNotice" w:id="1">
    <w:p w14:paraId="435A6474" w14:textId="77777777" w:rsidR="00CB654E" w:rsidRDefault="00CB65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Light">
    <w:altName w:val="Arial"/>
    <w:panose1 w:val="020B0403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otham Rounded Book">
    <w:altName w:val="Calibri"/>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977"/>
      <w:gridCol w:w="1595"/>
      <w:gridCol w:w="815"/>
      <w:gridCol w:w="1984"/>
    </w:tblGrid>
    <w:tr w:rsidR="00CC1F3B" w:rsidRPr="0018451A" w14:paraId="53DDD317" w14:textId="77777777" w:rsidTr="003A7E3B">
      <w:tc>
        <w:tcPr>
          <w:tcW w:w="10773" w:type="dxa"/>
          <w:gridSpan w:val="5"/>
          <w:shd w:val="clear" w:color="auto" w:fill="auto"/>
        </w:tcPr>
        <w:p w14:paraId="7A957CB3" w14:textId="208BF8E3" w:rsidR="00CC1F3B" w:rsidRPr="00B04445" w:rsidRDefault="00B04445" w:rsidP="00B04445">
          <w:pPr>
            <w:pStyle w:val="Footer"/>
            <w:jc w:val="right"/>
          </w:pPr>
          <w:r w:rsidRPr="00B04445">
            <w:fldChar w:fldCharType="begin"/>
          </w:r>
          <w:r w:rsidRPr="00B04445">
            <w:instrText xml:space="preserve"> PAGE   \* MERGEFORMAT </w:instrText>
          </w:r>
          <w:r w:rsidRPr="00B04445">
            <w:fldChar w:fldCharType="separate"/>
          </w:r>
          <w:r w:rsidR="00EB787F">
            <w:rPr>
              <w:noProof/>
            </w:rPr>
            <w:t>11</w:t>
          </w:r>
          <w:r w:rsidRPr="00B04445">
            <w:fldChar w:fldCharType="end"/>
          </w:r>
        </w:p>
      </w:tc>
    </w:tr>
    <w:tr w:rsidR="007B010F" w:rsidRPr="0018451A" w14:paraId="5CB77326" w14:textId="77777777" w:rsidTr="003A7E3B">
      <w:tc>
        <w:tcPr>
          <w:tcW w:w="3402" w:type="dxa"/>
          <w:shd w:val="clear" w:color="auto" w:fill="2ECC8F"/>
        </w:tcPr>
        <w:p w14:paraId="7FF80121" w14:textId="77777777" w:rsidR="007B010F" w:rsidRDefault="007B010F" w:rsidP="00A17DD5">
          <w:pPr>
            <w:pStyle w:val="Footer"/>
            <w:rPr>
              <w:szCs w:val="20"/>
            </w:rPr>
          </w:pPr>
        </w:p>
      </w:tc>
      <w:tc>
        <w:tcPr>
          <w:tcW w:w="2977" w:type="dxa"/>
          <w:shd w:val="clear" w:color="auto" w:fill="2DCC71"/>
        </w:tcPr>
        <w:p w14:paraId="68503EC7" w14:textId="77777777" w:rsidR="007B010F" w:rsidRDefault="007B010F" w:rsidP="00A17DD5">
          <w:pPr>
            <w:pStyle w:val="Footer"/>
            <w:rPr>
              <w:szCs w:val="20"/>
            </w:rPr>
          </w:pPr>
        </w:p>
      </w:tc>
      <w:tc>
        <w:tcPr>
          <w:tcW w:w="1595" w:type="dxa"/>
          <w:shd w:val="clear" w:color="auto" w:fill="26C282"/>
        </w:tcPr>
        <w:p w14:paraId="698558CB" w14:textId="77777777" w:rsidR="007B010F" w:rsidRDefault="007B010F" w:rsidP="00A17DD5">
          <w:pPr>
            <w:pStyle w:val="Footer"/>
            <w:rPr>
              <w:szCs w:val="20"/>
            </w:rPr>
          </w:pPr>
        </w:p>
      </w:tc>
      <w:tc>
        <w:tcPr>
          <w:tcW w:w="2799" w:type="dxa"/>
          <w:gridSpan w:val="2"/>
          <w:shd w:val="clear" w:color="auto" w:fill="00B69C"/>
        </w:tcPr>
        <w:p w14:paraId="3BAC514B" w14:textId="77777777" w:rsidR="007B010F" w:rsidRDefault="007B010F" w:rsidP="00A17DD5">
          <w:pPr>
            <w:pStyle w:val="Footer"/>
            <w:rPr>
              <w:szCs w:val="20"/>
            </w:rPr>
          </w:pPr>
        </w:p>
      </w:tc>
    </w:tr>
    <w:tr w:rsidR="0092024B" w:rsidRPr="0018451A" w14:paraId="01B73235" w14:textId="77777777" w:rsidTr="003A7E3B">
      <w:tc>
        <w:tcPr>
          <w:tcW w:w="8789" w:type="dxa"/>
          <w:gridSpan w:val="4"/>
          <w:shd w:val="clear" w:color="auto" w:fill="auto"/>
        </w:tcPr>
        <w:p w14:paraId="04C96EE5" w14:textId="39250120" w:rsidR="0092024B" w:rsidRDefault="0003482E" w:rsidP="0092024B">
          <w:pPr>
            <w:pStyle w:val="Footer"/>
            <w:rPr>
              <w:szCs w:val="20"/>
            </w:rPr>
          </w:pPr>
          <w:r>
            <w:rPr>
              <w:szCs w:val="20"/>
            </w:rPr>
            <w:t>Intern and Preceptor Guide to Entrustable Professional Activities (EPAs)</w:t>
          </w:r>
        </w:p>
      </w:tc>
      <w:tc>
        <w:tcPr>
          <w:tcW w:w="1984" w:type="dxa"/>
          <w:shd w:val="clear" w:color="auto" w:fill="auto"/>
        </w:tcPr>
        <w:p w14:paraId="3EB004DC" w14:textId="4E72C028" w:rsidR="0092024B" w:rsidRDefault="00F404F5" w:rsidP="0092024B">
          <w:pPr>
            <w:pStyle w:val="Footer"/>
            <w:jc w:val="right"/>
            <w:rPr>
              <w:szCs w:val="20"/>
            </w:rPr>
          </w:pPr>
          <w:r>
            <w:rPr>
              <w:szCs w:val="20"/>
            </w:rPr>
            <w:t xml:space="preserve">Version </w:t>
          </w:r>
          <w:r w:rsidR="009857CE">
            <w:rPr>
              <w:szCs w:val="20"/>
            </w:rPr>
            <w:t>0.</w:t>
          </w:r>
          <w:r w:rsidR="00E52CCE">
            <w:rPr>
              <w:szCs w:val="20"/>
            </w:rPr>
            <w:t>3</w:t>
          </w:r>
        </w:p>
      </w:tc>
    </w:tr>
  </w:tbl>
  <w:p w14:paraId="6C0DDD43" w14:textId="77777777" w:rsidR="0018451A" w:rsidRDefault="0018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3" w:type="dxa"/>
      <w:tblInd w:w="-567" w:type="dxa"/>
      <w:tblBorders>
        <w:top w:val="single" w:sz="4" w:space="0" w:color="A1A2A4"/>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83"/>
      <w:gridCol w:w="2977"/>
      <w:gridCol w:w="142"/>
      <w:gridCol w:w="1453"/>
      <w:gridCol w:w="2799"/>
    </w:tblGrid>
    <w:tr w:rsidR="00FA4A14" w:rsidRPr="0018451A" w14:paraId="675F7CD4" w14:textId="77777777" w:rsidTr="00B60EA2">
      <w:trPr>
        <w:trHeight w:val="63"/>
      </w:trPr>
      <w:tc>
        <w:tcPr>
          <w:tcW w:w="10773" w:type="dxa"/>
          <w:gridSpan w:val="6"/>
          <w:tcBorders>
            <w:bottom w:val="nil"/>
          </w:tcBorders>
          <w:shd w:val="clear" w:color="auto" w:fill="auto"/>
        </w:tcPr>
        <w:p w14:paraId="542D4290" w14:textId="77777777" w:rsidR="00FA4A14" w:rsidRPr="00C60867" w:rsidRDefault="00FA4A14" w:rsidP="009059FC">
          <w:pPr>
            <w:pStyle w:val="Footer"/>
            <w:ind w:left="175"/>
            <w:jc w:val="center"/>
            <w:rPr>
              <w:szCs w:val="20"/>
            </w:rPr>
          </w:pPr>
          <w:bookmarkStart w:id="21" w:name="_Hlk70676729"/>
          <w:r w:rsidRPr="00C60867">
            <w:rPr>
              <w:color w:val="67C971"/>
            </w:rPr>
            <w:t>w</w:t>
          </w:r>
          <w:r w:rsidRPr="00C60867">
            <w:t xml:space="preserve"> pharmacycouncil.org.au  </w:t>
          </w:r>
          <w:r>
            <w:t xml:space="preserve"> </w:t>
          </w:r>
          <w:r w:rsidRPr="00C60867">
            <w:t xml:space="preserve"> |   </w:t>
          </w:r>
          <w:r>
            <w:t xml:space="preserve"> </w:t>
          </w:r>
          <w:r w:rsidRPr="00C60867">
            <w:rPr>
              <w:color w:val="67C971"/>
              <w:szCs w:val="20"/>
            </w:rPr>
            <w:t>e</w:t>
          </w:r>
          <w:r w:rsidRPr="00C60867">
            <w:rPr>
              <w:szCs w:val="20"/>
            </w:rPr>
            <w:t xml:space="preserve"> admin@pharmacycouncil.org.au </w:t>
          </w:r>
          <w:r>
            <w:rPr>
              <w:szCs w:val="20"/>
            </w:rPr>
            <w:t xml:space="preserve"> </w:t>
          </w:r>
          <w:r w:rsidRPr="00C60867">
            <w:rPr>
              <w:szCs w:val="20"/>
            </w:rPr>
            <w:t xml:space="preserve">  |</w:t>
          </w:r>
          <w:r w:rsidRPr="00C60867">
            <w:rPr>
              <w:color w:val="67C971"/>
              <w:szCs w:val="20"/>
            </w:rPr>
            <w:t xml:space="preserve">  </w:t>
          </w:r>
          <w:r>
            <w:rPr>
              <w:color w:val="67C971"/>
              <w:szCs w:val="20"/>
            </w:rPr>
            <w:t xml:space="preserve"> </w:t>
          </w:r>
          <w:r w:rsidRPr="00C60867">
            <w:rPr>
              <w:color w:val="67C971"/>
              <w:szCs w:val="20"/>
            </w:rPr>
            <w:t xml:space="preserve"> p </w:t>
          </w:r>
          <w:r w:rsidRPr="00C60867">
            <w:rPr>
              <w:szCs w:val="20"/>
            </w:rPr>
            <w:t xml:space="preserve">+ 61 2 </w:t>
          </w:r>
          <w:r w:rsidR="003E0161">
            <w:rPr>
              <w:szCs w:val="20"/>
            </w:rPr>
            <w:t>6188 4288</w:t>
          </w:r>
        </w:p>
      </w:tc>
    </w:tr>
    <w:tr w:rsidR="00FA4A14" w:rsidRPr="0018451A" w14:paraId="4BA54851" w14:textId="77777777" w:rsidTr="00B60EA2">
      <w:trPr>
        <w:trHeight w:val="73"/>
      </w:trPr>
      <w:tc>
        <w:tcPr>
          <w:tcW w:w="10773" w:type="dxa"/>
          <w:gridSpan w:val="6"/>
          <w:tcBorders>
            <w:top w:val="nil"/>
            <w:bottom w:val="single" w:sz="4" w:space="0" w:color="A1A2A4"/>
          </w:tcBorders>
          <w:shd w:val="clear" w:color="auto" w:fill="auto"/>
        </w:tcPr>
        <w:p w14:paraId="5544CE25" w14:textId="77777777" w:rsidR="00FA4A14" w:rsidRPr="00C60867" w:rsidRDefault="00FA4A14" w:rsidP="009059FC">
          <w:pPr>
            <w:pStyle w:val="Footer"/>
            <w:rPr>
              <w:color w:val="67C971"/>
            </w:rPr>
          </w:pPr>
        </w:p>
      </w:tc>
    </w:tr>
    <w:tr w:rsidR="00FA4A14" w:rsidRPr="0018451A" w14:paraId="3C70CAEF" w14:textId="77777777" w:rsidTr="00B60EA2">
      <w:tc>
        <w:tcPr>
          <w:tcW w:w="3119" w:type="dxa"/>
          <w:shd w:val="clear" w:color="auto" w:fill="auto"/>
        </w:tcPr>
        <w:p w14:paraId="1ED43454" w14:textId="77777777" w:rsidR="009059FC" w:rsidRDefault="00663D4B" w:rsidP="00663D4B">
          <w:pPr>
            <w:pStyle w:val="Footer"/>
            <w:ind w:left="175" w:firstLine="426"/>
            <w:rPr>
              <w:szCs w:val="20"/>
            </w:rPr>
          </w:pPr>
          <w:r w:rsidRPr="00C60867">
            <w:rPr>
              <w:szCs w:val="20"/>
            </w:rPr>
            <w:t xml:space="preserve">Level </w:t>
          </w:r>
          <w:r>
            <w:rPr>
              <w:szCs w:val="20"/>
            </w:rPr>
            <w:t>1</w:t>
          </w:r>
        </w:p>
        <w:p w14:paraId="4DE83961" w14:textId="77777777" w:rsidR="00663D4B" w:rsidRDefault="003E0161" w:rsidP="00663D4B">
          <w:pPr>
            <w:pStyle w:val="Footer"/>
            <w:ind w:left="175" w:firstLine="426"/>
            <w:rPr>
              <w:szCs w:val="20"/>
            </w:rPr>
          </w:pPr>
          <w:r>
            <w:rPr>
              <w:szCs w:val="20"/>
            </w:rPr>
            <w:t>1</w:t>
          </w:r>
          <w:r w:rsidR="00663D4B">
            <w:rPr>
              <w:szCs w:val="20"/>
            </w:rPr>
            <w:t>5 Lancaster Place</w:t>
          </w:r>
        </w:p>
        <w:p w14:paraId="60EE2749" w14:textId="77777777" w:rsidR="00663D4B" w:rsidRPr="00C60867" w:rsidRDefault="009059FC" w:rsidP="00663D4B">
          <w:pPr>
            <w:pStyle w:val="Footer"/>
            <w:ind w:left="175" w:firstLine="426"/>
            <w:rPr>
              <w:szCs w:val="20"/>
            </w:rPr>
          </w:pPr>
          <w:r>
            <w:rPr>
              <w:szCs w:val="20"/>
            </w:rPr>
            <w:t>Majura Park</w:t>
          </w:r>
        </w:p>
        <w:p w14:paraId="2B660EB0" w14:textId="77777777" w:rsidR="00FA4A14" w:rsidRPr="00C60867" w:rsidRDefault="00663D4B" w:rsidP="00663D4B">
          <w:pPr>
            <w:pStyle w:val="Footer"/>
            <w:ind w:left="175" w:firstLine="426"/>
            <w:rPr>
              <w:szCs w:val="20"/>
            </w:rPr>
          </w:pPr>
          <w:r w:rsidRPr="00C60867">
            <w:rPr>
              <w:szCs w:val="20"/>
            </w:rPr>
            <w:t xml:space="preserve">Canberra </w:t>
          </w:r>
          <w:proofErr w:type="gramStart"/>
          <w:r w:rsidRPr="00C60867">
            <w:rPr>
              <w:szCs w:val="20"/>
            </w:rPr>
            <w:t>A</w:t>
          </w:r>
          <w:r>
            <w:rPr>
              <w:szCs w:val="20"/>
            </w:rPr>
            <w:t>irport  A</w:t>
          </w:r>
          <w:r w:rsidRPr="00C60867">
            <w:rPr>
              <w:szCs w:val="20"/>
            </w:rPr>
            <w:t>CT</w:t>
          </w:r>
          <w:proofErr w:type="gramEnd"/>
          <w:r w:rsidRPr="00C60867">
            <w:rPr>
              <w:szCs w:val="20"/>
            </w:rPr>
            <w:t xml:space="preserve"> </w:t>
          </w:r>
          <w:r>
            <w:rPr>
              <w:szCs w:val="20"/>
            </w:rPr>
            <w:t xml:space="preserve"> </w:t>
          </w:r>
          <w:r w:rsidRPr="00C60867">
            <w:rPr>
              <w:szCs w:val="20"/>
            </w:rPr>
            <w:t>260</w:t>
          </w:r>
          <w:r>
            <w:rPr>
              <w:szCs w:val="20"/>
            </w:rPr>
            <w:t>9</w:t>
          </w:r>
        </w:p>
      </w:tc>
      <w:tc>
        <w:tcPr>
          <w:tcW w:w="3402" w:type="dxa"/>
          <w:gridSpan w:val="3"/>
          <w:shd w:val="clear" w:color="auto" w:fill="auto"/>
        </w:tcPr>
        <w:p w14:paraId="054E3063" w14:textId="77777777" w:rsidR="00FA4A14" w:rsidRPr="00C60867" w:rsidRDefault="00FA4A14" w:rsidP="00FA4A14">
          <w:pPr>
            <w:pStyle w:val="Footer"/>
            <w:ind w:left="34"/>
            <w:rPr>
              <w:szCs w:val="20"/>
            </w:rPr>
          </w:pPr>
        </w:p>
      </w:tc>
      <w:tc>
        <w:tcPr>
          <w:tcW w:w="4252" w:type="dxa"/>
          <w:gridSpan w:val="2"/>
          <w:shd w:val="clear" w:color="auto" w:fill="auto"/>
          <w:vAlign w:val="bottom"/>
        </w:tcPr>
        <w:p w14:paraId="23A2ED28" w14:textId="77777777" w:rsidR="00FA4A14" w:rsidRPr="00C60867" w:rsidRDefault="00FA4A14" w:rsidP="00FA4A14">
          <w:pPr>
            <w:pStyle w:val="Footer"/>
            <w:ind w:right="318"/>
            <w:jc w:val="right"/>
            <w:rPr>
              <w:szCs w:val="20"/>
            </w:rPr>
          </w:pPr>
          <w:r w:rsidRPr="00C60867">
            <w:rPr>
              <w:szCs w:val="20"/>
            </w:rPr>
            <w:t>ABN 45 568 153 354</w:t>
          </w:r>
        </w:p>
      </w:tc>
    </w:tr>
    <w:tr w:rsidR="00FA4A14" w:rsidRPr="0018451A" w14:paraId="5BD31AF3" w14:textId="77777777" w:rsidTr="00B60EA2">
      <w:tc>
        <w:tcPr>
          <w:tcW w:w="3402" w:type="dxa"/>
          <w:gridSpan w:val="2"/>
          <w:shd w:val="clear" w:color="auto" w:fill="2ECC8F"/>
        </w:tcPr>
        <w:p w14:paraId="4E25FD87" w14:textId="77777777" w:rsidR="00FA4A14" w:rsidRDefault="00FA4A14" w:rsidP="00FA4A14">
          <w:pPr>
            <w:pStyle w:val="Footer"/>
            <w:rPr>
              <w:szCs w:val="20"/>
            </w:rPr>
          </w:pPr>
        </w:p>
      </w:tc>
      <w:tc>
        <w:tcPr>
          <w:tcW w:w="2977" w:type="dxa"/>
          <w:shd w:val="clear" w:color="auto" w:fill="2DCC71"/>
        </w:tcPr>
        <w:p w14:paraId="227C018E" w14:textId="77777777" w:rsidR="00FA4A14" w:rsidRDefault="00FA4A14" w:rsidP="00FA4A14">
          <w:pPr>
            <w:pStyle w:val="Footer"/>
            <w:rPr>
              <w:szCs w:val="20"/>
            </w:rPr>
          </w:pPr>
        </w:p>
      </w:tc>
      <w:tc>
        <w:tcPr>
          <w:tcW w:w="1595" w:type="dxa"/>
          <w:gridSpan w:val="2"/>
          <w:shd w:val="clear" w:color="auto" w:fill="26C282"/>
        </w:tcPr>
        <w:p w14:paraId="0A547271" w14:textId="77777777" w:rsidR="00FA4A14" w:rsidRDefault="00FA4A14" w:rsidP="00FA4A14">
          <w:pPr>
            <w:pStyle w:val="Footer"/>
            <w:rPr>
              <w:szCs w:val="20"/>
            </w:rPr>
          </w:pPr>
        </w:p>
      </w:tc>
      <w:tc>
        <w:tcPr>
          <w:tcW w:w="2799" w:type="dxa"/>
          <w:shd w:val="clear" w:color="auto" w:fill="00B69C"/>
        </w:tcPr>
        <w:p w14:paraId="64B701F6" w14:textId="77777777" w:rsidR="00FA4A14" w:rsidRDefault="00FA4A14" w:rsidP="00FA4A14">
          <w:pPr>
            <w:pStyle w:val="Footer"/>
            <w:rPr>
              <w:szCs w:val="20"/>
            </w:rPr>
          </w:pPr>
        </w:p>
      </w:tc>
    </w:tr>
    <w:bookmarkEnd w:id="21"/>
  </w:tbl>
  <w:p w14:paraId="4CBDBB49" w14:textId="77777777" w:rsidR="00FA4A14" w:rsidRDefault="00FA4A14" w:rsidP="00905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D4DA" w14:textId="77777777" w:rsidR="00CB654E" w:rsidRDefault="00CB654E" w:rsidP="00793A81">
      <w:pPr>
        <w:spacing w:after="0"/>
      </w:pPr>
      <w:r>
        <w:separator/>
      </w:r>
    </w:p>
  </w:footnote>
  <w:footnote w:type="continuationSeparator" w:id="0">
    <w:p w14:paraId="643FEDD0" w14:textId="77777777" w:rsidR="00CB654E" w:rsidRDefault="00CB654E" w:rsidP="00793A81">
      <w:pPr>
        <w:spacing w:after="0"/>
      </w:pPr>
      <w:r>
        <w:continuationSeparator/>
      </w:r>
    </w:p>
  </w:footnote>
  <w:footnote w:type="continuationNotice" w:id="1">
    <w:p w14:paraId="429F91F0" w14:textId="77777777" w:rsidR="00CB654E" w:rsidRDefault="00CB654E">
      <w:pPr>
        <w:spacing w:before="0" w:after="0" w:line="240" w:lineRule="auto"/>
      </w:pPr>
    </w:p>
  </w:footnote>
  <w:footnote w:id="2">
    <w:p w14:paraId="23F5DA8E" w14:textId="77777777" w:rsidR="003A7E3B" w:rsidRPr="003A7E3B" w:rsidRDefault="003A7E3B" w:rsidP="003A7E3B">
      <w:pPr>
        <w:pStyle w:val="FootnoteText"/>
        <w:rPr>
          <w:rFonts w:ascii="Arial" w:hAnsi="Arial" w:cs="Arial"/>
          <w:sz w:val="18"/>
          <w:szCs w:val="18"/>
          <w:lang w:val="en-US"/>
        </w:rPr>
      </w:pPr>
      <w:r w:rsidRPr="003A7E3B">
        <w:rPr>
          <w:rStyle w:val="FootnoteReference"/>
          <w:rFonts w:ascii="Arial" w:hAnsi="Arial" w:cs="Arial"/>
          <w:sz w:val="18"/>
          <w:szCs w:val="18"/>
        </w:rPr>
        <w:footnoteRef/>
      </w:r>
      <w:r w:rsidRPr="003A7E3B">
        <w:rPr>
          <w:rFonts w:ascii="Arial" w:hAnsi="Arial" w:cs="Arial"/>
          <w:sz w:val="18"/>
          <w:szCs w:val="18"/>
        </w:rPr>
        <w:t xml:space="preserve"> APC (2020). </w:t>
      </w:r>
      <w:r w:rsidRPr="003A7E3B">
        <w:rPr>
          <w:rFonts w:ascii="Arial" w:hAnsi="Arial" w:cs="Arial"/>
          <w:i/>
          <w:sz w:val="18"/>
          <w:szCs w:val="18"/>
          <w:lang w:val="en-US"/>
        </w:rPr>
        <w:t>Accreditation Standards for Pharmacy Programs in Australia and New Zealand.</w:t>
      </w:r>
      <w:r w:rsidRPr="003A7E3B">
        <w:rPr>
          <w:rFonts w:ascii="Arial" w:hAnsi="Arial" w:cs="Arial"/>
          <w:sz w:val="18"/>
          <w:szCs w:val="18"/>
          <w:lang w:val="en-US"/>
        </w:rPr>
        <w:t xml:space="preserve"> Accessed at </w:t>
      </w:r>
      <w:hyperlink r:id="rId1" w:history="1">
        <w:r w:rsidRPr="003A7E3B">
          <w:rPr>
            <w:rStyle w:val="Hyperlink"/>
            <w:rFonts w:cs="Arial"/>
            <w:sz w:val="18"/>
            <w:szCs w:val="18"/>
            <w:lang w:val="en-US"/>
          </w:rPr>
          <w:t>https://www.pharmacycouncil.org.au/resources/pharmacy-program-standards</w:t>
        </w:r>
      </w:hyperlink>
      <w:r w:rsidRPr="003A7E3B">
        <w:rPr>
          <w:rFonts w:ascii="Arial" w:hAnsi="Arial" w:cs="Arial"/>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ECF8" w14:textId="224B0659" w:rsidR="0018451A" w:rsidRDefault="00123C50" w:rsidP="002930BB">
    <w:pPr>
      <w:pStyle w:val="Header"/>
    </w:pPr>
    <w:sdt>
      <w:sdtPr>
        <w:id w:val="1719547965"/>
        <w:docPartObj>
          <w:docPartGallery w:val="Watermarks"/>
          <w:docPartUnique/>
        </w:docPartObj>
      </w:sdtPr>
      <w:sdtEndPr/>
      <w:sdtContent>
        <w:r>
          <w:rPr>
            <w:noProof/>
          </w:rPr>
          <w:pict w14:anchorId="691A58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3665B">
      <w:rPr>
        <w:noProof/>
        <w:lang w:val="en-US"/>
      </w:rPr>
      <w:drawing>
        <wp:inline distT="0" distB="0" distL="0" distR="0" wp14:anchorId="7274D82D" wp14:editId="07961BA8">
          <wp:extent cx="1812861" cy="55169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APClogo.png"/>
                  <pic:cNvPicPr/>
                </pic:nvPicPr>
                <pic:blipFill>
                  <a:blip r:embed="rId1">
                    <a:extLst>
                      <a:ext uri="{28A0092B-C50C-407E-A947-70E740481C1C}">
                        <a14:useLocalDpi xmlns:a14="http://schemas.microsoft.com/office/drawing/2010/main" val="0"/>
                      </a:ext>
                    </a:extLst>
                  </a:blip>
                  <a:stretch>
                    <a:fillRect/>
                  </a:stretch>
                </pic:blipFill>
                <pic:spPr>
                  <a:xfrm>
                    <a:off x="0" y="0"/>
                    <a:ext cx="1812861" cy="5516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3EE2"/>
    <w:multiLevelType w:val="hybridMultilevel"/>
    <w:tmpl w:val="5076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E7679"/>
    <w:multiLevelType w:val="hybridMultilevel"/>
    <w:tmpl w:val="B7223E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D97569"/>
    <w:multiLevelType w:val="hybridMultilevel"/>
    <w:tmpl w:val="2A7E6A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D0949C6"/>
    <w:multiLevelType w:val="multilevel"/>
    <w:tmpl w:val="08E22AEA"/>
    <w:styleLink w:val="NumberedHeadingList"/>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851" w:hanging="851"/>
      </w:pPr>
      <w:rPr>
        <w:rFonts w:hint="default"/>
      </w:rPr>
    </w:lvl>
    <w:lvl w:ilvl="4">
      <w:start w:val="1"/>
      <w:numFmt w:val="decimal"/>
      <w:pStyle w:val="Numbered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15:restartNumberingAfterBreak="0">
    <w:nsid w:val="5937491F"/>
    <w:multiLevelType w:val="hybridMultilevel"/>
    <w:tmpl w:val="D4CC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BF7C20"/>
    <w:multiLevelType w:val="hybridMultilevel"/>
    <w:tmpl w:val="68248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4F645FF"/>
    <w:multiLevelType w:val="hybridMultilevel"/>
    <w:tmpl w:val="12468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E3B"/>
    <w:rsid w:val="00004370"/>
    <w:rsid w:val="000204EF"/>
    <w:rsid w:val="0002131A"/>
    <w:rsid w:val="00026183"/>
    <w:rsid w:val="0003482E"/>
    <w:rsid w:val="00040376"/>
    <w:rsid w:val="0004439A"/>
    <w:rsid w:val="000549F4"/>
    <w:rsid w:val="000565FF"/>
    <w:rsid w:val="000642CC"/>
    <w:rsid w:val="00073829"/>
    <w:rsid w:val="00092E99"/>
    <w:rsid w:val="00093FED"/>
    <w:rsid w:val="00097E08"/>
    <w:rsid w:val="000D4E4A"/>
    <w:rsid w:val="000D5348"/>
    <w:rsid w:val="000D6628"/>
    <w:rsid w:val="000F1516"/>
    <w:rsid w:val="001161EE"/>
    <w:rsid w:val="00123C50"/>
    <w:rsid w:val="001379DE"/>
    <w:rsid w:val="00140B7F"/>
    <w:rsid w:val="00143820"/>
    <w:rsid w:val="00183B03"/>
    <w:rsid w:val="0018451A"/>
    <w:rsid w:val="0019611F"/>
    <w:rsid w:val="00197CBC"/>
    <w:rsid w:val="001A1AF7"/>
    <w:rsid w:val="001A5620"/>
    <w:rsid w:val="001A7F4D"/>
    <w:rsid w:val="001B3F80"/>
    <w:rsid w:val="001B7133"/>
    <w:rsid w:val="001C2077"/>
    <w:rsid w:val="001D6D93"/>
    <w:rsid w:val="001F628D"/>
    <w:rsid w:val="0020081B"/>
    <w:rsid w:val="00201C77"/>
    <w:rsid w:val="002037CB"/>
    <w:rsid w:val="00207D49"/>
    <w:rsid w:val="0021284A"/>
    <w:rsid w:val="00253247"/>
    <w:rsid w:val="0026106C"/>
    <w:rsid w:val="002645B9"/>
    <w:rsid w:val="002752D6"/>
    <w:rsid w:val="00283EDF"/>
    <w:rsid w:val="002930BB"/>
    <w:rsid w:val="002A6B5C"/>
    <w:rsid w:val="002E2FF9"/>
    <w:rsid w:val="002F68A4"/>
    <w:rsid w:val="0030006E"/>
    <w:rsid w:val="00317216"/>
    <w:rsid w:val="00327432"/>
    <w:rsid w:val="0033665B"/>
    <w:rsid w:val="00337110"/>
    <w:rsid w:val="00342731"/>
    <w:rsid w:val="0034643B"/>
    <w:rsid w:val="003535BC"/>
    <w:rsid w:val="0035577D"/>
    <w:rsid w:val="00364F87"/>
    <w:rsid w:val="0036601D"/>
    <w:rsid w:val="003742C1"/>
    <w:rsid w:val="0037574B"/>
    <w:rsid w:val="00377146"/>
    <w:rsid w:val="00391811"/>
    <w:rsid w:val="00394FDD"/>
    <w:rsid w:val="003A17DB"/>
    <w:rsid w:val="003A5829"/>
    <w:rsid w:val="003A7E3B"/>
    <w:rsid w:val="003B54A6"/>
    <w:rsid w:val="003C2916"/>
    <w:rsid w:val="003C3B44"/>
    <w:rsid w:val="003E0161"/>
    <w:rsid w:val="003E1F0D"/>
    <w:rsid w:val="003E6A25"/>
    <w:rsid w:val="003F422E"/>
    <w:rsid w:val="00417212"/>
    <w:rsid w:val="004202AF"/>
    <w:rsid w:val="00452CC5"/>
    <w:rsid w:val="0047075E"/>
    <w:rsid w:val="004740F7"/>
    <w:rsid w:val="004849A9"/>
    <w:rsid w:val="00492AD3"/>
    <w:rsid w:val="004A7335"/>
    <w:rsid w:val="004B46C5"/>
    <w:rsid w:val="004B7242"/>
    <w:rsid w:val="004D118B"/>
    <w:rsid w:val="004D15B1"/>
    <w:rsid w:val="004D2F76"/>
    <w:rsid w:val="004E1F6F"/>
    <w:rsid w:val="004E5262"/>
    <w:rsid w:val="004E5E9F"/>
    <w:rsid w:val="004E63E2"/>
    <w:rsid w:val="004F0D95"/>
    <w:rsid w:val="00504379"/>
    <w:rsid w:val="00513563"/>
    <w:rsid w:val="005277CC"/>
    <w:rsid w:val="005334D9"/>
    <w:rsid w:val="00556A73"/>
    <w:rsid w:val="0056024A"/>
    <w:rsid w:val="00574A9B"/>
    <w:rsid w:val="00582061"/>
    <w:rsid w:val="005B01DA"/>
    <w:rsid w:val="005C1373"/>
    <w:rsid w:val="005E0AA8"/>
    <w:rsid w:val="005E4101"/>
    <w:rsid w:val="005E66A6"/>
    <w:rsid w:val="0060710E"/>
    <w:rsid w:val="0063311F"/>
    <w:rsid w:val="00643E0C"/>
    <w:rsid w:val="0064720E"/>
    <w:rsid w:val="00657F5A"/>
    <w:rsid w:val="00663D4B"/>
    <w:rsid w:val="00667DF7"/>
    <w:rsid w:val="0067784C"/>
    <w:rsid w:val="00682849"/>
    <w:rsid w:val="00682DA7"/>
    <w:rsid w:val="006850DE"/>
    <w:rsid w:val="006A5D3C"/>
    <w:rsid w:val="006C7882"/>
    <w:rsid w:val="006D7677"/>
    <w:rsid w:val="006E5B9A"/>
    <w:rsid w:val="006F4273"/>
    <w:rsid w:val="006F71F1"/>
    <w:rsid w:val="00703C14"/>
    <w:rsid w:val="007074D0"/>
    <w:rsid w:val="00715634"/>
    <w:rsid w:val="00731FF5"/>
    <w:rsid w:val="007562B2"/>
    <w:rsid w:val="00763E83"/>
    <w:rsid w:val="00766FAE"/>
    <w:rsid w:val="00770ABA"/>
    <w:rsid w:val="0079154C"/>
    <w:rsid w:val="00791B0C"/>
    <w:rsid w:val="00793699"/>
    <w:rsid w:val="00793A81"/>
    <w:rsid w:val="00793D00"/>
    <w:rsid w:val="007A7402"/>
    <w:rsid w:val="007B010F"/>
    <w:rsid w:val="007D1A4C"/>
    <w:rsid w:val="007D624C"/>
    <w:rsid w:val="007E3B16"/>
    <w:rsid w:val="007E4F47"/>
    <w:rsid w:val="007E750A"/>
    <w:rsid w:val="007F2FE5"/>
    <w:rsid w:val="00806574"/>
    <w:rsid w:val="00830D64"/>
    <w:rsid w:val="00830E4C"/>
    <w:rsid w:val="00837A52"/>
    <w:rsid w:val="00866F09"/>
    <w:rsid w:val="00882C7E"/>
    <w:rsid w:val="00886D8A"/>
    <w:rsid w:val="008B4659"/>
    <w:rsid w:val="008C17EA"/>
    <w:rsid w:val="008D5669"/>
    <w:rsid w:val="008E0192"/>
    <w:rsid w:val="008E2546"/>
    <w:rsid w:val="008F0E3F"/>
    <w:rsid w:val="009019BA"/>
    <w:rsid w:val="009059FC"/>
    <w:rsid w:val="00906624"/>
    <w:rsid w:val="00907C02"/>
    <w:rsid w:val="0092024B"/>
    <w:rsid w:val="009218A0"/>
    <w:rsid w:val="00930F5E"/>
    <w:rsid w:val="00931B58"/>
    <w:rsid w:val="00945787"/>
    <w:rsid w:val="00950833"/>
    <w:rsid w:val="00955590"/>
    <w:rsid w:val="00956A5D"/>
    <w:rsid w:val="00961D4D"/>
    <w:rsid w:val="009656DD"/>
    <w:rsid w:val="00965AAA"/>
    <w:rsid w:val="009857CE"/>
    <w:rsid w:val="009964E5"/>
    <w:rsid w:val="009C4B3C"/>
    <w:rsid w:val="009D697D"/>
    <w:rsid w:val="009D7732"/>
    <w:rsid w:val="009E2872"/>
    <w:rsid w:val="00A0052E"/>
    <w:rsid w:val="00A031E2"/>
    <w:rsid w:val="00A04AFF"/>
    <w:rsid w:val="00A1529D"/>
    <w:rsid w:val="00A17DD5"/>
    <w:rsid w:val="00A269F6"/>
    <w:rsid w:val="00A518B6"/>
    <w:rsid w:val="00A60B68"/>
    <w:rsid w:val="00A6193D"/>
    <w:rsid w:val="00A769E3"/>
    <w:rsid w:val="00A83637"/>
    <w:rsid w:val="00A841BD"/>
    <w:rsid w:val="00A85A19"/>
    <w:rsid w:val="00AB039D"/>
    <w:rsid w:val="00AB0E9F"/>
    <w:rsid w:val="00B04445"/>
    <w:rsid w:val="00B07948"/>
    <w:rsid w:val="00B12E07"/>
    <w:rsid w:val="00B15922"/>
    <w:rsid w:val="00B20842"/>
    <w:rsid w:val="00B42F98"/>
    <w:rsid w:val="00B4572E"/>
    <w:rsid w:val="00B47BDF"/>
    <w:rsid w:val="00B60EA2"/>
    <w:rsid w:val="00B617F8"/>
    <w:rsid w:val="00B81B43"/>
    <w:rsid w:val="00B86C28"/>
    <w:rsid w:val="00BD1058"/>
    <w:rsid w:val="00BE7629"/>
    <w:rsid w:val="00BF7F9C"/>
    <w:rsid w:val="00C1597F"/>
    <w:rsid w:val="00C15E4D"/>
    <w:rsid w:val="00C21017"/>
    <w:rsid w:val="00C313DA"/>
    <w:rsid w:val="00C31FCE"/>
    <w:rsid w:val="00C33C9F"/>
    <w:rsid w:val="00C41F13"/>
    <w:rsid w:val="00C46110"/>
    <w:rsid w:val="00C46496"/>
    <w:rsid w:val="00C47AF2"/>
    <w:rsid w:val="00C5734F"/>
    <w:rsid w:val="00C5745E"/>
    <w:rsid w:val="00C60867"/>
    <w:rsid w:val="00C63A40"/>
    <w:rsid w:val="00C70911"/>
    <w:rsid w:val="00C71781"/>
    <w:rsid w:val="00C72058"/>
    <w:rsid w:val="00C74A85"/>
    <w:rsid w:val="00C92DF1"/>
    <w:rsid w:val="00C92E37"/>
    <w:rsid w:val="00C94D7E"/>
    <w:rsid w:val="00CB654E"/>
    <w:rsid w:val="00CC1F3B"/>
    <w:rsid w:val="00CC31E6"/>
    <w:rsid w:val="00CD2700"/>
    <w:rsid w:val="00CE5882"/>
    <w:rsid w:val="00CE67B9"/>
    <w:rsid w:val="00D126E6"/>
    <w:rsid w:val="00D32E65"/>
    <w:rsid w:val="00D3372A"/>
    <w:rsid w:val="00D427DB"/>
    <w:rsid w:val="00D43A5F"/>
    <w:rsid w:val="00D53162"/>
    <w:rsid w:val="00D868FD"/>
    <w:rsid w:val="00D935EB"/>
    <w:rsid w:val="00DB1E44"/>
    <w:rsid w:val="00DF5D1A"/>
    <w:rsid w:val="00DF6AB9"/>
    <w:rsid w:val="00DF7A0B"/>
    <w:rsid w:val="00E4056D"/>
    <w:rsid w:val="00E42F1D"/>
    <w:rsid w:val="00E45417"/>
    <w:rsid w:val="00E52CCE"/>
    <w:rsid w:val="00E554E3"/>
    <w:rsid w:val="00E60C49"/>
    <w:rsid w:val="00E76E3A"/>
    <w:rsid w:val="00E92F9E"/>
    <w:rsid w:val="00EA0996"/>
    <w:rsid w:val="00EB1B21"/>
    <w:rsid w:val="00EB787F"/>
    <w:rsid w:val="00EC6413"/>
    <w:rsid w:val="00EE52F8"/>
    <w:rsid w:val="00F17F3F"/>
    <w:rsid w:val="00F23907"/>
    <w:rsid w:val="00F25A48"/>
    <w:rsid w:val="00F312D0"/>
    <w:rsid w:val="00F33513"/>
    <w:rsid w:val="00F376D4"/>
    <w:rsid w:val="00F404F5"/>
    <w:rsid w:val="00F40B1C"/>
    <w:rsid w:val="00F462A4"/>
    <w:rsid w:val="00F50F53"/>
    <w:rsid w:val="00F63B54"/>
    <w:rsid w:val="00F65723"/>
    <w:rsid w:val="00F66457"/>
    <w:rsid w:val="00F7035E"/>
    <w:rsid w:val="00F80C55"/>
    <w:rsid w:val="00F84BB2"/>
    <w:rsid w:val="00FA2B20"/>
    <w:rsid w:val="00FA4A14"/>
    <w:rsid w:val="00FC6D59"/>
    <w:rsid w:val="00FE02BA"/>
    <w:rsid w:val="00FF541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7FFBD6"/>
  <w15:chartTrackingRefBased/>
  <w15:docId w15:val="{5B2A9D4C-88A9-4C20-A081-7C07FFB2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unhideWhenUsed="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1EE"/>
    <w:rPr>
      <w:rFonts w:ascii="Arial" w:hAnsi="Arial"/>
      <w:sz w:val="20"/>
    </w:rPr>
  </w:style>
  <w:style w:type="paragraph" w:styleId="Heading1">
    <w:name w:val="heading 1"/>
    <w:next w:val="Normal"/>
    <w:link w:val="Heading1Char"/>
    <w:uiPriority w:val="9"/>
    <w:qFormat/>
    <w:rsid w:val="00830D64"/>
    <w:pPr>
      <w:keepNext/>
      <w:keepLines/>
      <w:spacing w:before="320"/>
      <w:outlineLvl w:val="0"/>
    </w:pPr>
    <w:rPr>
      <w:rFonts w:ascii="Helvetica LT Std Light" w:eastAsiaTheme="majorEastAsia" w:hAnsi="Helvetica LT Std Light" w:cstheme="majorBidi"/>
      <w:color w:val="636363" w:themeColor="text1"/>
      <w:sz w:val="32"/>
      <w:szCs w:val="32"/>
    </w:rPr>
  </w:style>
  <w:style w:type="paragraph" w:styleId="Heading2">
    <w:name w:val="heading 2"/>
    <w:next w:val="Normal"/>
    <w:link w:val="Heading2Char"/>
    <w:uiPriority w:val="9"/>
    <w:unhideWhenUsed/>
    <w:qFormat/>
    <w:rsid w:val="00830D64"/>
    <w:pPr>
      <w:keepNext/>
      <w:keepLines/>
      <w:spacing w:before="280" w:after="140"/>
      <w:outlineLvl w:val="1"/>
    </w:pPr>
    <w:rPr>
      <w:rFonts w:ascii="Helvetica LT Std Light" w:eastAsiaTheme="majorEastAsia" w:hAnsi="Helvetica LT Std Light" w:cstheme="majorBidi"/>
      <w:color w:val="636363"/>
      <w:sz w:val="28"/>
      <w:szCs w:val="26"/>
    </w:rPr>
  </w:style>
  <w:style w:type="paragraph" w:styleId="Heading3">
    <w:name w:val="heading 3"/>
    <w:next w:val="Normal"/>
    <w:link w:val="Heading3Char"/>
    <w:uiPriority w:val="9"/>
    <w:unhideWhenUsed/>
    <w:qFormat/>
    <w:rsid w:val="002037CB"/>
    <w:pPr>
      <w:keepNext/>
      <w:keepLines/>
      <w:spacing w:before="200" w:after="110"/>
      <w:outlineLvl w:val="2"/>
    </w:pPr>
    <w:rPr>
      <w:rFonts w:ascii="Helvetica LT Std Light" w:eastAsiaTheme="majorEastAsia" w:hAnsi="Helvetica LT Std Light" w:cstheme="majorBidi"/>
      <w:color w:val="636363"/>
      <w:szCs w:val="24"/>
    </w:rPr>
  </w:style>
  <w:style w:type="paragraph" w:styleId="Heading4">
    <w:name w:val="heading 4"/>
    <w:next w:val="Normal"/>
    <w:link w:val="Heading4Char"/>
    <w:uiPriority w:val="9"/>
    <w:unhideWhenUsed/>
    <w:qFormat/>
    <w:rsid w:val="002037CB"/>
    <w:pPr>
      <w:keepNext/>
      <w:keepLines/>
      <w:spacing w:before="200" w:after="100"/>
      <w:outlineLvl w:val="3"/>
    </w:pPr>
    <w:rPr>
      <w:rFonts w:ascii="Helvetica LT Std Light" w:eastAsiaTheme="majorEastAsia" w:hAnsi="Helvetica LT Std Light" w:cstheme="majorBidi"/>
      <w:iCs/>
      <w:color w:val="636363"/>
      <w:sz w:val="20"/>
    </w:rPr>
  </w:style>
  <w:style w:type="paragraph" w:styleId="Heading5">
    <w:name w:val="heading 5"/>
    <w:next w:val="Normal"/>
    <w:link w:val="Heading5Char"/>
    <w:uiPriority w:val="9"/>
    <w:semiHidden/>
    <w:unhideWhenUsed/>
    <w:locked/>
    <w:rsid w:val="002037CB"/>
    <w:pPr>
      <w:keepNext/>
      <w:keepLines/>
      <w:spacing w:before="200" w:after="100"/>
      <w:outlineLvl w:val="4"/>
    </w:pPr>
    <w:rPr>
      <w:rFonts w:ascii="Helvetica LT Std Light" w:eastAsiaTheme="majorEastAsia" w:hAnsi="Helvetica LT Std Light" w:cstheme="majorBidi"/>
      <w:i/>
      <w:color w:val="63636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uiPriority w:val="99"/>
    <w:unhideWhenUsed/>
    <w:qFormat/>
    <w:rsid w:val="002930BB"/>
    <w:rPr>
      <w:szCs w:val="20"/>
    </w:rPr>
  </w:style>
  <w:style w:type="character" w:customStyle="1" w:styleId="HeaderChar">
    <w:name w:val="Header Char"/>
    <w:basedOn w:val="DefaultParagraphFont"/>
    <w:link w:val="Header"/>
    <w:uiPriority w:val="99"/>
    <w:rsid w:val="002930BB"/>
    <w:rPr>
      <w:rFonts w:ascii="Helvetica LT Std Light" w:hAnsi="Helvetica LT Std Light"/>
      <w:color w:val="A1A2A4"/>
      <w:sz w:val="18"/>
      <w:szCs w:val="20"/>
    </w:rPr>
  </w:style>
  <w:style w:type="paragraph" w:styleId="Footer">
    <w:name w:val="footer"/>
    <w:link w:val="FooterChar"/>
    <w:uiPriority w:val="99"/>
    <w:unhideWhenUsed/>
    <w:rsid w:val="00C46110"/>
    <w:pPr>
      <w:tabs>
        <w:tab w:val="center" w:pos="4513"/>
        <w:tab w:val="right" w:pos="9026"/>
      </w:tabs>
      <w:spacing w:after="0"/>
    </w:pPr>
    <w:rPr>
      <w:rFonts w:ascii="Helvetica LT Std Light" w:hAnsi="Helvetica LT Std Light"/>
      <w:color w:val="A1A2A4"/>
      <w:sz w:val="18"/>
    </w:rPr>
  </w:style>
  <w:style w:type="character" w:customStyle="1" w:styleId="FooterChar">
    <w:name w:val="Footer Char"/>
    <w:basedOn w:val="DefaultParagraphFont"/>
    <w:link w:val="Footer"/>
    <w:uiPriority w:val="99"/>
    <w:rsid w:val="00C46110"/>
    <w:rPr>
      <w:rFonts w:ascii="Helvetica LT Std Light" w:hAnsi="Helvetica LT Std Light"/>
      <w:color w:val="A1A2A4"/>
      <w:sz w:val="18"/>
    </w:rPr>
  </w:style>
  <w:style w:type="character" w:customStyle="1" w:styleId="Heading1Char">
    <w:name w:val="Heading 1 Char"/>
    <w:basedOn w:val="DefaultParagraphFont"/>
    <w:link w:val="Heading1"/>
    <w:uiPriority w:val="9"/>
    <w:rsid w:val="00830D64"/>
    <w:rPr>
      <w:rFonts w:ascii="Helvetica LT Std Light" w:eastAsiaTheme="majorEastAsia" w:hAnsi="Helvetica LT Std Light" w:cstheme="majorBidi"/>
      <w:color w:val="636363" w:themeColor="text1"/>
      <w:sz w:val="32"/>
      <w:szCs w:val="32"/>
    </w:rPr>
  </w:style>
  <w:style w:type="table" w:styleId="TableGrid">
    <w:name w:val="Table Grid"/>
    <w:basedOn w:val="TableNormal"/>
    <w:uiPriority w:val="39"/>
    <w:rsid w:val="00184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46110"/>
    <w:rPr>
      <w:rFonts w:ascii="Arial" w:hAnsi="Arial"/>
      <w:color w:val="00B69C"/>
      <w:sz w:val="20"/>
      <w:u w:val="single"/>
    </w:rPr>
  </w:style>
  <w:style w:type="paragraph" w:styleId="BalloonText">
    <w:name w:val="Balloon Text"/>
    <w:basedOn w:val="Normal"/>
    <w:link w:val="BalloonTextChar"/>
    <w:uiPriority w:val="99"/>
    <w:semiHidden/>
    <w:unhideWhenUsed/>
    <w:rsid w:val="005E66A6"/>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E66A6"/>
    <w:rPr>
      <w:rFonts w:ascii="Segoe UI" w:hAnsi="Segoe UI" w:cs="Segoe UI"/>
      <w:sz w:val="18"/>
      <w:szCs w:val="18"/>
    </w:rPr>
  </w:style>
  <w:style w:type="character" w:customStyle="1" w:styleId="Heading2Char">
    <w:name w:val="Heading 2 Char"/>
    <w:basedOn w:val="DefaultParagraphFont"/>
    <w:link w:val="Heading2"/>
    <w:uiPriority w:val="9"/>
    <w:rsid w:val="00830D64"/>
    <w:rPr>
      <w:rFonts w:ascii="Helvetica LT Std Light" w:eastAsiaTheme="majorEastAsia" w:hAnsi="Helvetica LT Std Light" w:cstheme="majorBidi"/>
      <w:color w:val="636363"/>
      <w:sz w:val="28"/>
      <w:szCs w:val="26"/>
    </w:rPr>
  </w:style>
  <w:style w:type="character" w:customStyle="1" w:styleId="Heading3Char">
    <w:name w:val="Heading 3 Char"/>
    <w:basedOn w:val="DefaultParagraphFont"/>
    <w:link w:val="Heading3"/>
    <w:uiPriority w:val="9"/>
    <w:rsid w:val="002037CB"/>
    <w:rPr>
      <w:rFonts w:ascii="Helvetica LT Std Light" w:eastAsiaTheme="majorEastAsia" w:hAnsi="Helvetica LT Std Light" w:cstheme="majorBidi"/>
      <w:color w:val="636363"/>
      <w:szCs w:val="24"/>
    </w:rPr>
  </w:style>
  <w:style w:type="character" w:customStyle="1" w:styleId="Heading4Char">
    <w:name w:val="Heading 4 Char"/>
    <w:basedOn w:val="DefaultParagraphFont"/>
    <w:link w:val="Heading4"/>
    <w:uiPriority w:val="9"/>
    <w:rsid w:val="002037CB"/>
    <w:rPr>
      <w:rFonts w:ascii="Helvetica LT Std Light" w:eastAsiaTheme="majorEastAsia" w:hAnsi="Helvetica LT Std Light" w:cstheme="majorBidi"/>
      <w:iCs/>
      <w:color w:val="636363"/>
      <w:sz w:val="20"/>
    </w:rPr>
  </w:style>
  <w:style w:type="paragraph" w:customStyle="1" w:styleId="HighlightText">
    <w:name w:val="Highlight Text"/>
    <w:next w:val="Normal"/>
    <w:link w:val="HighlightTextChar"/>
    <w:qFormat/>
    <w:rsid w:val="00F63B54"/>
    <w:pPr>
      <w:spacing w:before="110" w:after="110"/>
    </w:pPr>
    <w:rPr>
      <w:rFonts w:ascii="Helvetica LT Std Light" w:hAnsi="Helvetica LT Std Light"/>
      <w:color w:val="00B69C"/>
      <w:sz w:val="20"/>
    </w:rPr>
  </w:style>
  <w:style w:type="character" w:styleId="FollowedHyperlink">
    <w:name w:val="FollowedHyperlink"/>
    <w:basedOn w:val="DefaultParagraphFont"/>
    <w:uiPriority w:val="99"/>
    <w:semiHidden/>
    <w:unhideWhenUsed/>
    <w:rsid w:val="00FA2B20"/>
    <w:rPr>
      <w:color w:val="A1A2A4" w:themeColor="followedHyperlink"/>
      <w:u w:val="single"/>
    </w:rPr>
  </w:style>
  <w:style w:type="character" w:customStyle="1" w:styleId="HighlightTextChar">
    <w:name w:val="Highlight Text Char"/>
    <w:basedOn w:val="DefaultParagraphFont"/>
    <w:link w:val="HighlightText"/>
    <w:rsid w:val="00F63B54"/>
    <w:rPr>
      <w:rFonts w:ascii="Helvetica LT Std Light" w:hAnsi="Helvetica LT Std Light"/>
      <w:color w:val="00B69C"/>
      <w:sz w:val="20"/>
    </w:rPr>
  </w:style>
  <w:style w:type="paragraph" w:styleId="Title">
    <w:name w:val="Title"/>
    <w:next w:val="Normal"/>
    <w:link w:val="TitleChar"/>
    <w:uiPriority w:val="10"/>
    <w:qFormat/>
    <w:rsid w:val="00417212"/>
    <w:pPr>
      <w:spacing w:before="180" w:after="180"/>
      <w:contextualSpacing/>
    </w:pPr>
    <w:rPr>
      <w:rFonts w:ascii="Gotham Rounded Book" w:eastAsiaTheme="majorEastAsia" w:hAnsi="Gotham Rounded Book" w:cstheme="majorBidi"/>
      <w:color w:val="636363"/>
      <w:spacing w:val="-10"/>
      <w:kern w:val="28"/>
      <w:sz w:val="36"/>
      <w:szCs w:val="56"/>
    </w:rPr>
  </w:style>
  <w:style w:type="character" w:customStyle="1" w:styleId="TitleChar">
    <w:name w:val="Title Char"/>
    <w:basedOn w:val="DefaultParagraphFont"/>
    <w:link w:val="Title"/>
    <w:uiPriority w:val="10"/>
    <w:rsid w:val="00417212"/>
    <w:rPr>
      <w:rFonts w:ascii="Gotham Rounded Book" w:eastAsiaTheme="majorEastAsia" w:hAnsi="Gotham Rounded Book" w:cstheme="majorBidi"/>
      <w:color w:val="636363"/>
      <w:spacing w:val="-10"/>
      <w:kern w:val="28"/>
      <w:sz w:val="36"/>
      <w:szCs w:val="56"/>
    </w:rPr>
  </w:style>
  <w:style w:type="paragraph" w:styleId="Subtitle">
    <w:name w:val="Subtitle"/>
    <w:next w:val="Normal"/>
    <w:link w:val="SubtitleChar"/>
    <w:uiPriority w:val="11"/>
    <w:qFormat/>
    <w:rsid w:val="00417212"/>
    <w:pPr>
      <w:numPr>
        <w:ilvl w:val="1"/>
      </w:numPr>
      <w:spacing w:before="140" w:after="140"/>
    </w:pPr>
    <w:rPr>
      <w:rFonts w:ascii="Gotham Rounded Book" w:eastAsiaTheme="minorEastAsia" w:hAnsi="Gotham Rounded Book"/>
      <w:color w:val="636363"/>
      <w:spacing w:val="15"/>
      <w:sz w:val="24"/>
    </w:rPr>
  </w:style>
  <w:style w:type="character" w:customStyle="1" w:styleId="SubtitleChar">
    <w:name w:val="Subtitle Char"/>
    <w:basedOn w:val="DefaultParagraphFont"/>
    <w:link w:val="Subtitle"/>
    <w:uiPriority w:val="11"/>
    <w:rsid w:val="00417212"/>
    <w:rPr>
      <w:rFonts w:ascii="Gotham Rounded Book" w:eastAsiaTheme="minorEastAsia" w:hAnsi="Gotham Rounded Book"/>
      <w:color w:val="636363"/>
      <w:spacing w:val="15"/>
      <w:sz w:val="24"/>
    </w:rPr>
  </w:style>
  <w:style w:type="character" w:styleId="SubtleEmphasis">
    <w:name w:val="Subtle Emphasis"/>
    <w:uiPriority w:val="19"/>
    <w:qFormat/>
    <w:rsid w:val="00C46110"/>
    <w:rPr>
      <w:rFonts w:ascii="Arial" w:hAnsi="Arial"/>
      <w:i/>
      <w:iCs/>
      <w:color w:val="636363"/>
      <w:sz w:val="20"/>
    </w:rPr>
  </w:style>
  <w:style w:type="character" w:styleId="Emphasis">
    <w:name w:val="Emphasis"/>
    <w:uiPriority w:val="20"/>
    <w:qFormat/>
    <w:rsid w:val="00C46110"/>
    <w:rPr>
      <w:rFonts w:ascii="Arial" w:hAnsi="Arial"/>
      <w:i/>
      <w:iCs/>
      <w:sz w:val="20"/>
    </w:rPr>
  </w:style>
  <w:style w:type="character" w:styleId="IntenseEmphasis">
    <w:name w:val="Intense Emphasis"/>
    <w:uiPriority w:val="21"/>
    <w:qFormat/>
    <w:rsid w:val="00C46110"/>
    <w:rPr>
      <w:rFonts w:ascii="Arial" w:hAnsi="Arial"/>
      <w:i/>
      <w:iCs/>
      <w:color w:val="00B69C"/>
      <w:sz w:val="20"/>
    </w:rPr>
  </w:style>
  <w:style w:type="paragraph" w:styleId="NoSpacing">
    <w:name w:val="No Spacing"/>
    <w:link w:val="NoSpacingChar"/>
    <w:uiPriority w:val="1"/>
    <w:qFormat/>
    <w:rsid w:val="00CC31E6"/>
    <w:pPr>
      <w:spacing w:after="0" w:line="240" w:lineRule="auto"/>
    </w:pPr>
    <w:rPr>
      <w:rFonts w:ascii="Arial" w:hAnsi="Arial"/>
      <w:sz w:val="20"/>
    </w:rPr>
  </w:style>
  <w:style w:type="paragraph" w:styleId="Quote">
    <w:name w:val="Quote"/>
    <w:next w:val="Normal"/>
    <w:link w:val="QuoteChar"/>
    <w:uiPriority w:val="29"/>
    <w:qFormat/>
    <w:rsid w:val="00C46110"/>
    <w:pPr>
      <w:spacing w:before="200"/>
      <w:ind w:left="864" w:right="864"/>
    </w:pPr>
    <w:rPr>
      <w:rFonts w:ascii="Arial" w:hAnsi="Arial"/>
      <w:i/>
      <w:iCs/>
      <w:color w:val="00B69C"/>
      <w:sz w:val="20"/>
    </w:rPr>
  </w:style>
  <w:style w:type="character" w:customStyle="1" w:styleId="QuoteChar">
    <w:name w:val="Quote Char"/>
    <w:basedOn w:val="DefaultParagraphFont"/>
    <w:link w:val="Quote"/>
    <w:uiPriority w:val="29"/>
    <w:rsid w:val="00C46110"/>
    <w:rPr>
      <w:rFonts w:ascii="Arial" w:hAnsi="Arial"/>
      <w:i/>
      <w:iCs/>
      <w:color w:val="00B69C"/>
      <w:sz w:val="20"/>
    </w:rPr>
  </w:style>
  <w:style w:type="paragraph" w:styleId="IntenseQuote">
    <w:name w:val="Intense Quote"/>
    <w:next w:val="Normal"/>
    <w:link w:val="IntenseQuoteChar"/>
    <w:uiPriority w:val="30"/>
    <w:qFormat/>
    <w:rsid w:val="00C46110"/>
    <w:pPr>
      <w:pBdr>
        <w:top w:val="single" w:sz="4" w:space="10" w:color="00B69C"/>
        <w:bottom w:val="single" w:sz="4" w:space="10" w:color="00B69C"/>
      </w:pBdr>
      <w:spacing w:before="360" w:after="360"/>
    </w:pPr>
    <w:rPr>
      <w:rFonts w:ascii="Arial" w:hAnsi="Arial"/>
      <w:i/>
      <w:iCs/>
      <w:color w:val="00B69C"/>
      <w:sz w:val="20"/>
    </w:rPr>
  </w:style>
  <w:style w:type="character" w:customStyle="1" w:styleId="IntenseQuoteChar">
    <w:name w:val="Intense Quote Char"/>
    <w:basedOn w:val="DefaultParagraphFont"/>
    <w:link w:val="IntenseQuote"/>
    <w:uiPriority w:val="30"/>
    <w:rsid w:val="00C46110"/>
    <w:rPr>
      <w:rFonts w:ascii="Arial" w:hAnsi="Arial"/>
      <w:i/>
      <w:iCs/>
      <w:color w:val="00B69C"/>
      <w:sz w:val="20"/>
    </w:rPr>
  </w:style>
  <w:style w:type="paragraph" w:styleId="ListParagraph">
    <w:name w:val="List Paragraph"/>
    <w:uiPriority w:val="34"/>
    <w:qFormat/>
    <w:rsid w:val="00C46110"/>
    <w:pPr>
      <w:spacing w:after="360"/>
      <w:ind w:left="720"/>
      <w:contextualSpacing/>
    </w:pPr>
    <w:rPr>
      <w:rFonts w:ascii="Arial" w:hAnsi="Arial"/>
      <w:sz w:val="20"/>
    </w:rPr>
  </w:style>
  <w:style w:type="character" w:styleId="IntenseReference">
    <w:name w:val="Intense Reference"/>
    <w:uiPriority w:val="32"/>
    <w:qFormat/>
    <w:rsid w:val="00C46110"/>
    <w:rPr>
      <w:rFonts w:ascii="Arial" w:hAnsi="Arial"/>
      <w:b/>
      <w:bCs/>
      <w:smallCaps/>
      <w:color w:val="00B69C"/>
      <w:spacing w:val="5"/>
      <w:sz w:val="20"/>
    </w:rPr>
  </w:style>
  <w:style w:type="character" w:styleId="BookTitle">
    <w:name w:val="Book Title"/>
    <w:uiPriority w:val="33"/>
    <w:qFormat/>
    <w:rsid w:val="00C46110"/>
    <w:rPr>
      <w:rFonts w:ascii="Arial" w:hAnsi="Arial"/>
      <w:b/>
      <w:bCs/>
      <w:i/>
      <w:iCs/>
      <w:spacing w:val="5"/>
      <w:sz w:val="20"/>
    </w:rPr>
  </w:style>
  <w:style w:type="table" w:styleId="GridTable1Light-Accent1">
    <w:name w:val="Grid Table 1 Light Accent 1"/>
    <w:basedOn w:val="TableNormal"/>
    <w:uiPriority w:val="46"/>
    <w:rsid w:val="006C7882"/>
    <w:pPr>
      <w:spacing w:after="0" w:line="240" w:lineRule="auto"/>
    </w:pPr>
    <w:tblPr>
      <w:tblStyleRowBandSize w:val="1"/>
      <w:tblStyleColBandSize w:val="1"/>
      <w:tblBorders>
        <w:top w:val="single" w:sz="4" w:space="0" w:color="C2E9C6" w:themeColor="accent1" w:themeTint="66"/>
        <w:left w:val="single" w:sz="4" w:space="0" w:color="C2E9C6" w:themeColor="accent1" w:themeTint="66"/>
        <w:bottom w:val="single" w:sz="4" w:space="0" w:color="C2E9C6" w:themeColor="accent1" w:themeTint="66"/>
        <w:right w:val="single" w:sz="4" w:space="0" w:color="C2E9C6" w:themeColor="accent1" w:themeTint="66"/>
        <w:insideH w:val="single" w:sz="4" w:space="0" w:color="C2E9C6" w:themeColor="accent1" w:themeTint="66"/>
        <w:insideV w:val="single" w:sz="4" w:space="0" w:color="C2E9C6" w:themeColor="accent1" w:themeTint="66"/>
      </w:tblBorders>
    </w:tblPr>
    <w:tblStylePr w:type="firstRow">
      <w:rPr>
        <w:b/>
        <w:bCs/>
      </w:rPr>
      <w:tblPr/>
      <w:tcPr>
        <w:tcBorders>
          <w:bottom w:val="single" w:sz="12" w:space="0" w:color="A3DEA9" w:themeColor="accent1" w:themeTint="99"/>
        </w:tcBorders>
      </w:tcPr>
    </w:tblStylePr>
    <w:tblStylePr w:type="lastRow">
      <w:rPr>
        <w:b/>
        <w:bCs/>
      </w:rPr>
      <w:tblPr/>
      <w:tcPr>
        <w:tcBorders>
          <w:top w:val="double" w:sz="2" w:space="0" w:color="A3DEA9"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C7882"/>
    <w:pPr>
      <w:spacing w:after="0" w:line="240" w:lineRule="auto"/>
    </w:pPr>
    <w:tblPr>
      <w:tblStyleRowBandSize w:val="1"/>
      <w:tblStyleColBandSize w:val="1"/>
      <w:tblBorders>
        <w:top w:val="single" w:sz="4" w:space="0" w:color="F4ADAD" w:themeColor="accent4" w:themeTint="66"/>
        <w:left w:val="single" w:sz="4" w:space="0" w:color="F4ADAD" w:themeColor="accent4" w:themeTint="66"/>
        <w:bottom w:val="single" w:sz="4" w:space="0" w:color="F4ADAD" w:themeColor="accent4" w:themeTint="66"/>
        <w:right w:val="single" w:sz="4" w:space="0" w:color="F4ADAD" w:themeColor="accent4" w:themeTint="66"/>
        <w:insideH w:val="single" w:sz="4" w:space="0" w:color="F4ADAD" w:themeColor="accent4" w:themeTint="66"/>
        <w:insideV w:val="single" w:sz="4" w:space="0" w:color="F4ADAD" w:themeColor="accent4" w:themeTint="66"/>
      </w:tblBorders>
    </w:tblPr>
    <w:tblStylePr w:type="firstRow">
      <w:rPr>
        <w:b/>
        <w:bCs/>
      </w:rPr>
      <w:tblPr/>
      <w:tcPr>
        <w:tcBorders>
          <w:bottom w:val="single" w:sz="12" w:space="0" w:color="EF8484" w:themeColor="accent4" w:themeTint="99"/>
        </w:tcBorders>
      </w:tcPr>
    </w:tblStylePr>
    <w:tblStylePr w:type="lastRow">
      <w:rPr>
        <w:b/>
        <w:bCs/>
      </w:rPr>
      <w:tblPr/>
      <w:tcPr>
        <w:tcBorders>
          <w:top w:val="double" w:sz="2" w:space="0" w:color="EF8484"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C7882"/>
    <w:pPr>
      <w:spacing w:after="0" w:line="240" w:lineRule="auto"/>
    </w:pPr>
    <w:tblPr>
      <w:tblStyleRowBandSize w:val="1"/>
      <w:tblStyleColBandSize w:val="1"/>
      <w:tblBorders>
        <w:top w:val="single" w:sz="4" w:space="0" w:color="D1B3DB" w:themeColor="accent3" w:themeTint="66"/>
        <w:left w:val="single" w:sz="4" w:space="0" w:color="D1B3DB" w:themeColor="accent3" w:themeTint="66"/>
        <w:bottom w:val="single" w:sz="4" w:space="0" w:color="D1B3DB" w:themeColor="accent3" w:themeTint="66"/>
        <w:right w:val="single" w:sz="4" w:space="0" w:color="D1B3DB" w:themeColor="accent3" w:themeTint="66"/>
        <w:insideH w:val="single" w:sz="4" w:space="0" w:color="D1B3DB" w:themeColor="accent3" w:themeTint="66"/>
        <w:insideV w:val="single" w:sz="4" w:space="0" w:color="D1B3DB" w:themeColor="accent3" w:themeTint="66"/>
      </w:tblBorders>
    </w:tblPr>
    <w:tblStylePr w:type="firstRow">
      <w:rPr>
        <w:b/>
        <w:bCs/>
      </w:rPr>
      <w:tblPr/>
      <w:tcPr>
        <w:tcBorders>
          <w:bottom w:val="single" w:sz="12" w:space="0" w:color="BA8DC9" w:themeColor="accent3" w:themeTint="99"/>
        </w:tcBorders>
      </w:tcPr>
    </w:tblStylePr>
    <w:tblStylePr w:type="lastRow">
      <w:rPr>
        <w:b/>
        <w:bCs/>
      </w:rPr>
      <w:tblPr/>
      <w:tcPr>
        <w:tcBorders>
          <w:top w:val="double" w:sz="2" w:space="0" w:color="BA8DC9"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C7882"/>
    <w:pPr>
      <w:spacing w:after="0" w:line="240" w:lineRule="auto"/>
    </w:pPr>
    <w:tblPr>
      <w:tblStyleRowBandSize w:val="1"/>
      <w:tblStyleColBandSize w:val="1"/>
      <w:tblBorders>
        <w:top w:val="single" w:sz="4" w:space="0" w:color="FBD5A4" w:themeColor="accent5" w:themeTint="66"/>
        <w:left w:val="single" w:sz="4" w:space="0" w:color="FBD5A4" w:themeColor="accent5" w:themeTint="66"/>
        <w:bottom w:val="single" w:sz="4" w:space="0" w:color="FBD5A4" w:themeColor="accent5" w:themeTint="66"/>
        <w:right w:val="single" w:sz="4" w:space="0" w:color="FBD5A4" w:themeColor="accent5" w:themeTint="66"/>
        <w:insideH w:val="single" w:sz="4" w:space="0" w:color="FBD5A4" w:themeColor="accent5" w:themeTint="66"/>
        <w:insideV w:val="single" w:sz="4" w:space="0" w:color="FBD5A4" w:themeColor="accent5" w:themeTint="66"/>
      </w:tblBorders>
    </w:tblPr>
    <w:tblStylePr w:type="firstRow">
      <w:rPr>
        <w:b/>
        <w:bCs/>
      </w:rPr>
      <w:tblPr/>
      <w:tcPr>
        <w:tcBorders>
          <w:bottom w:val="single" w:sz="12" w:space="0" w:color="FAC076" w:themeColor="accent5" w:themeTint="99"/>
        </w:tcBorders>
      </w:tcPr>
    </w:tblStylePr>
    <w:tblStylePr w:type="lastRow">
      <w:rPr>
        <w:b/>
        <w:bCs/>
      </w:rPr>
      <w:tblPr/>
      <w:tcPr>
        <w:tcBorders>
          <w:top w:val="double" w:sz="2" w:space="0" w:color="FAC07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C7882"/>
    <w:pPr>
      <w:spacing w:after="0" w:line="240" w:lineRule="auto"/>
    </w:pPr>
    <w:tblPr>
      <w:tblStyleRowBandSize w:val="1"/>
      <w:tblStyleColBandSize w:val="1"/>
      <w:tblBorders>
        <w:top w:val="single" w:sz="4" w:space="0" w:color="BBE5E3" w:themeColor="accent6" w:themeTint="66"/>
        <w:left w:val="single" w:sz="4" w:space="0" w:color="BBE5E3" w:themeColor="accent6" w:themeTint="66"/>
        <w:bottom w:val="single" w:sz="4" w:space="0" w:color="BBE5E3" w:themeColor="accent6" w:themeTint="66"/>
        <w:right w:val="single" w:sz="4" w:space="0" w:color="BBE5E3" w:themeColor="accent6" w:themeTint="66"/>
        <w:insideH w:val="single" w:sz="4" w:space="0" w:color="BBE5E3" w:themeColor="accent6" w:themeTint="66"/>
        <w:insideV w:val="single" w:sz="4" w:space="0" w:color="BBE5E3" w:themeColor="accent6" w:themeTint="66"/>
      </w:tblBorders>
    </w:tblPr>
    <w:tblStylePr w:type="firstRow">
      <w:rPr>
        <w:b/>
        <w:bCs/>
      </w:rPr>
      <w:tblPr/>
      <w:tcPr>
        <w:tcBorders>
          <w:bottom w:val="single" w:sz="12" w:space="0" w:color="9AD8D5" w:themeColor="accent6" w:themeTint="99"/>
        </w:tcBorders>
      </w:tcPr>
    </w:tblStylePr>
    <w:tblStylePr w:type="lastRow">
      <w:rPr>
        <w:b/>
        <w:bCs/>
      </w:rPr>
      <w:tblPr/>
      <w:tcPr>
        <w:tcBorders>
          <w:top w:val="double" w:sz="2" w:space="0" w:color="9AD8D5" w:themeColor="accent6"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C7882"/>
    <w:pPr>
      <w:spacing w:after="0" w:line="240" w:lineRule="auto"/>
    </w:pPr>
    <w:tblPr>
      <w:tblStyleRowBandSize w:val="1"/>
      <w:tblStyleColBandSize w:val="1"/>
      <w:tblBorders>
        <w:top w:val="single" w:sz="4" w:space="0" w:color="C0C0C0" w:themeColor="text1" w:themeTint="66"/>
        <w:left w:val="single" w:sz="4" w:space="0" w:color="C0C0C0" w:themeColor="text1" w:themeTint="66"/>
        <w:bottom w:val="single" w:sz="4" w:space="0" w:color="C0C0C0" w:themeColor="text1" w:themeTint="66"/>
        <w:right w:val="single" w:sz="4" w:space="0" w:color="C0C0C0" w:themeColor="text1" w:themeTint="66"/>
        <w:insideH w:val="single" w:sz="4" w:space="0" w:color="C0C0C0" w:themeColor="text1" w:themeTint="66"/>
        <w:insideV w:val="single" w:sz="4" w:space="0" w:color="C0C0C0" w:themeColor="text1" w:themeTint="66"/>
      </w:tblBorders>
    </w:tblPr>
    <w:tblStylePr w:type="firstRow">
      <w:rPr>
        <w:b/>
        <w:bCs/>
      </w:rPr>
      <w:tblPr/>
      <w:tcPr>
        <w:tcBorders>
          <w:bottom w:val="single" w:sz="12" w:space="0" w:color="A1A1A1" w:themeColor="text1" w:themeTint="99"/>
        </w:tcBorders>
      </w:tcPr>
    </w:tblStylePr>
    <w:tblStylePr w:type="lastRow">
      <w:rPr>
        <w:b/>
        <w:bCs/>
      </w:rPr>
      <w:tblPr/>
      <w:tcPr>
        <w:tcBorders>
          <w:top w:val="double" w:sz="2" w:space="0" w:color="A1A1A1" w:themeColor="tex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6C7882"/>
    <w:pPr>
      <w:outlineLvl w:val="9"/>
    </w:pPr>
    <w:rPr>
      <w:lang w:val="en-US"/>
    </w:rPr>
  </w:style>
  <w:style w:type="paragraph" w:styleId="TOC1">
    <w:name w:val="toc 1"/>
    <w:next w:val="Normal"/>
    <w:autoRedefine/>
    <w:uiPriority w:val="39"/>
    <w:unhideWhenUsed/>
    <w:rsid w:val="00C46110"/>
    <w:pPr>
      <w:spacing w:after="100"/>
    </w:pPr>
    <w:rPr>
      <w:rFonts w:ascii="Arial" w:hAnsi="Arial"/>
      <w:sz w:val="20"/>
    </w:rPr>
  </w:style>
  <w:style w:type="paragraph" w:styleId="TOC2">
    <w:name w:val="toc 2"/>
    <w:next w:val="Normal"/>
    <w:autoRedefine/>
    <w:uiPriority w:val="39"/>
    <w:unhideWhenUsed/>
    <w:rsid w:val="00C46110"/>
    <w:pPr>
      <w:spacing w:after="100"/>
      <w:ind w:left="180"/>
    </w:pPr>
    <w:rPr>
      <w:rFonts w:ascii="Arial" w:hAnsi="Arial"/>
      <w:sz w:val="20"/>
    </w:rPr>
  </w:style>
  <w:style w:type="paragraph" w:styleId="TOC3">
    <w:name w:val="toc 3"/>
    <w:next w:val="Normal"/>
    <w:autoRedefine/>
    <w:uiPriority w:val="39"/>
    <w:unhideWhenUsed/>
    <w:rsid w:val="00C46110"/>
    <w:pPr>
      <w:tabs>
        <w:tab w:val="right" w:leader="dot" w:pos="9628"/>
      </w:tabs>
      <w:spacing w:after="100"/>
      <w:ind w:left="360"/>
    </w:pPr>
    <w:rPr>
      <w:rFonts w:ascii="Arial" w:hAnsi="Arial"/>
      <w:sz w:val="20"/>
    </w:rPr>
  </w:style>
  <w:style w:type="character" w:customStyle="1" w:styleId="Heading5Char">
    <w:name w:val="Heading 5 Char"/>
    <w:basedOn w:val="DefaultParagraphFont"/>
    <w:link w:val="Heading5"/>
    <w:uiPriority w:val="9"/>
    <w:semiHidden/>
    <w:rsid w:val="002037CB"/>
    <w:rPr>
      <w:rFonts w:ascii="Helvetica LT Std Light" w:eastAsiaTheme="majorEastAsia" w:hAnsi="Helvetica LT Std Light" w:cstheme="majorBidi"/>
      <w:i/>
      <w:color w:val="636363"/>
      <w:sz w:val="20"/>
    </w:rPr>
  </w:style>
  <w:style w:type="character" w:customStyle="1" w:styleId="NoSpacingChar">
    <w:name w:val="No Spacing Char"/>
    <w:basedOn w:val="DefaultParagraphFont"/>
    <w:link w:val="NoSpacing"/>
    <w:uiPriority w:val="1"/>
    <w:rsid w:val="00CC31E6"/>
    <w:rPr>
      <w:rFonts w:ascii="Arial" w:hAnsi="Arial"/>
      <w:sz w:val="20"/>
    </w:rPr>
  </w:style>
  <w:style w:type="table" w:styleId="TableGridLight">
    <w:name w:val="Grid Table Light"/>
    <w:basedOn w:val="TableNormal"/>
    <w:uiPriority w:val="40"/>
    <w:rsid w:val="00097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ColouredBackground">
    <w:name w:val="Title - Coloured Background"/>
    <w:basedOn w:val="Title"/>
    <w:next w:val="Normal"/>
    <w:qFormat/>
    <w:rsid w:val="00A0052E"/>
    <w:rPr>
      <w:color w:val="FFFFFF"/>
    </w:rPr>
  </w:style>
  <w:style w:type="paragraph" w:customStyle="1" w:styleId="Subtitle-ColouredBackground">
    <w:name w:val="Subtitle - Coloured Background"/>
    <w:basedOn w:val="Subtitle"/>
    <w:next w:val="Normal"/>
    <w:qFormat/>
    <w:rsid w:val="00EC6413"/>
    <w:rPr>
      <w:color w:val="FFFFFF"/>
    </w:rPr>
  </w:style>
  <w:style w:type="table" w:styleId="GridTable1Light-Accent2">
    <w:name w:val="Grid Table 1 Light Accent 2"/>
    <w:basedOn w:val="TableNormal"/>
    <w:uiPriority w:val="46"/>
    <w:rsid w:val="00CC31E6"/>
    <w:pPr>
      <w:spacing w:after="0" w:line="240" w:lineRule="auto"/>
    </w:pPr>
    <w:tblPr>
      <w:tblStyleRowBandSize w:val="1"/>
      <w:tblStyleColBandSize w:val="1"/>
      <w:tblBorders>
        <w:top w:val="single" w:sz="4" w:space="0" w:color="AED4EC" w:themeColor="accent2" w:themeTint="66"/>
        <w:left w:val="single" w:sz="4" w:space="0" w:color="AED4EC" w:themeColor="accent2" w:themeTint="66"/>
        <w:bottom w:val="single" w:sz="4" w:space="0" w:color="AED4EC" w:themeColor="accent2" w:themeTint="66"/>
        <w:right w:val="single" w:sz="4" w:space="0" w:color="AED4EC" w:themeColor="accent2" w:themeTint="66"/>
        <w:insideH w:val="single" w:sz="4" w:space="0" w:color="AED4EC" w:themeColor="accent2" w:themeTint="66"/>
        <w:insideV w:val="single" w:sz="4" w:space="0" w:color="AED4EC" w:themeColor="accent2" w:themeTint="66"/>
      </w:tblBorders>
    </w:tblPr>
    <w:tblStylePr w:type="firstRow">
      <w:rPr>
        <w:b/>
        <w:bCs/>
      </w:rPr>
      <w:tblPr/>
      <w:tcPr>
        <w:tcBorders>
          <w:bottom w:val="single" w:sz="12" w:space="0" w:color="85BEE3" w:themeColor="accent2" w:themeTint="99"/>
        </w:tcBorders>
      </w:tcPr>
    </w:tblStylePr>
    <w:tblStylePr w:type="lastRow">
      <w:rPr>
        <w:b/>
        <w:bCs/>
      </w:rPr>
      <w:tblPr/>
      <w:tcPr>
        <w:tcBorders>
          <w:top w:val="double" w:sz="2" w:space="0" w:color="85BEE3" w:themeColor="accent2" w:themeTint="99"/>
        </w:tcBorders>
      </w:tcPr>
    </w:tblStylePr>
    <w:tblStylePr w:type="firstCol">
      <w:rPr>
        <w:b/>
        <w:bCs/>
      </w:rPr>
    </w:tblStylePr>
    <w:tblStylePr w:type="lastCol">
      <w:rPr>
        <w:b/>
        <w:bCs/>
      </w:rPr>
    </w:tblStylePr>
  </w:style>
  <w:style w:type="paragraph" w:customStyle="1" w:styleId="NumberedHeading1">
    <w:name w:val="Numbered Heading 1"/>
    <w:basedOn w:val="Heading1"/>
    <w:next w:val="Normal"/>
    <w:qFormat/>
    <w:rsid w:val="00394FDD"/>
    <w:pPr>
      <w:numPr>
        <w:numId w:val="3"/>
      </w:numPr>
    </w:pPr>
  </w:style>
  <w:style w:type="paragraph" w:customStyle="1" w:styleId="NumberedHeading2">
    <w:name w:val="Numbered Heading 2"/>
    <w:basedOn w:val="Heading2"/>
    <w:next w:val="Normal"/>
    <w:qFormat/>
    <w:rsid w:val="00394FDD"/>
    <w:pPr>
      <w:numPr>
        <w:ilvl w:val="1"/>
        <w:numId w:val="3"/>
      </w:numPr>
    </w:pPr>
    <w:rPr>
      <w:color w:val="636363" w:themeColor="text1"/>
    </w:rPr>
  </w:style>
  <w:style w:type="paragraph" w:customStyle="1" w:styleId="NumberedHeading3">
    <w:name w:val="Numbered Heading 3"/>
    <w:basedOn w:val="Heading3"/>
    <w:next w:val="Normal"/>
    <w:qFormat/>
    <w:rsid w:val="00394FDD"/>
    <w:pPr>
      <w:numPr>
        <w:ilvl w:val="2"/>
        <w:numId w:val="3"/>
      </w:numPr>
    </w:pPr>
    <w:rPr>
      <w:color w:val="636363" w:themeColor="text1"/>
    </w:rPr>
  </w:style>
  <w:style w:type="paragraph" w:customStyle="1" w:styleId="NumberedHeading4">
    <w:name w:val="Numbered Heading 4"/>
    <w:basedOn w:val="Heading4"/>
    <w:next w:val="Normal"/>
    <w:qFormat/>
    <w:rsid w:val="00394FDD"/>
    <w:pPr>
      <w:numPr>
        <w:ilvl w:val="3"/>
        <w:numId w:val="3"/>
      </w:numPr>
    </w:pPr>
    <w:rPr>
      <w:color w:val="636363" w:themeColor="text1"/>
    </w:rPr>
  </w:style>
  <w:style w:type="paragraph" w:customStyle="1" w:styleId="NumberedHeading5">
    <w:name w:val="Numbered Heading 5"/>
    <w:basedOn w:val="Heading5"/>
    <w:next w:val="Normal"/>
    <w:qFormat/>
    <w:rsid w:val="00394FDD"/>
    <w:pPr>
      <w:numPr>
        <w:ilvl w:val="4"/>
        <w:numId w:val="3"/>
      </w:numPr>
    </w:pPr>
    <w:rPr>
      <w:color w:val="636363" w:themeColor="text1"/>
    </w:rPr>
  </w:style>
  <w:style w:type="numbering" w:customStyle="1" w:styleId="NumberedHeadingList">
    <w:name w:val="Numbered Heading List"/>
    <w:uiPriority w:val="99"/>
    <w:rsid w:val="00DF5D1A"/>
    <w:pPr>
      <w:numPr>
        <w:numId w:val="3"/>
      </w:numPr>
    </w:pPr>
  </w:style>
  <w:style w:type="paragraph" w:styleId="Caption">
    <w:name w:val="caption"/>
    <w:next w:val="Normal"/>
    <w:uiPriority w:val="35"/>
    <w:unhideWhenUsed/>
    <w:qFormat/>
    <w:rsid w:val="00197CBC"/>
    <w:pPr>
      <w:spacing w:after="200"/>
    </w:pPr>
    <w:rPr>
      <w:rFonts w:ascii="Arial" w:hAnsi="Arial"/>
      <w:i/>
      <w:iCs/>
      <w:color w:val="93948A" w:themeColor="text2"/>
      <w:sz w:val="18"/>
      <w:szCs w:val="18"/>
    </w:rPr>
  </w:style>
  <w:style w:type="paragraph" w:styleId="FootnoteText">
    <w:name w:val="footnote text"/>
    <w:basedOn w:val="Normal"/>
    <w:link w:val="FootnoteTextChar"/>
    <w:uiPriority w:val="99"/>
    <w:semiHidden/>
    <w:unhideWhenUsed/>
    <w:rsid w:val="003A7E3B"/>
    <w:pPr>
      <w:spacing w:before="0" w:after="0" w:line="240" w:lineRule="auto"/>
    </w:pPr>
    <w:rPr>
      <w:rFonts w:asciiTheme="minorHAnsi" w:hAnsiTheme="minorHAnsi"/>
      <w:szCs w:val="20"/>
    </w:rPr>
  </w:style>
  <w:style w:type="character" w:customStyle="1" w:styleId="FootnoteTextChar">
    <w:name w:val="Footnote Text Char"/>
    <w:basedOn w:val="DefaultParagraphFont"/>
    <w:link w:val="FootnoteText"/>
    <w:uiPriority w:val="99"/>
    <w:semiHidden/>
    <w:rsid w:val="003A7E3B"/>
    <w:rPr>
      <w:sz w:val="20"/>
      <w:szCs w:val="20"/>
    </w:rPr>
  </w:style>
  <w:style w:type="character" w:styleId="FootnoteReference">
    <w:name w:val="footnote reference"/>
    <w:basedOn w:val="DefaultParagraphFont"/>
    <w:uiPriority w:val="99"/>
    <w:semiHidden/>
    <w:unhideWhenUsed/>
    <w:rsid w:val="003A7E3B"/>
    <w:rPr>
      <w:vertAlign w:val="superscript"/>
    </w:rPr>
  </w:style>
  <w:style w:type="paragraph" w:styleId="TableofFigures">
    <w:name w:val="table of figures"/>
    <w:basedOn w:val="Normal"/>
    <w:next w:val="Normal"/>
    <w:uiPriority w:val="99"/>
    <w:unhideWhenUsed/>
    <w:rsid w:val="008C17EA"/>
    <w:pPr>
      <w:spacing w:after="0"/>
    </w:pPr>
  </w:style>
  <w:style w:type="character" w:styleId="CommentReference">
    <w:name w:val="annotation reference"/>
    <w:basedOn w:val="DefaultParagraphFont"/>
    <w:uiPriority w:val="99"/>
    <w:semiHidden/>
    <w:unhideWhenUsed/>
    <w:rsid w:val="00377146"/>
    <w:rPr>
      <w:sz w:val="16"/>
      <w:szCs w:val="16"/>
    </w:rPr>
  </w:style>
  <w:style w:type="paragraph" w:styleId="CommentText">
    <w:name w:val="annotation text"/>
    <w:basedOn w:val="Normal"/>
    <w:link w:val="CommentTextChar"/>
    <w:uiPriority w:val="99"/>
    <w:semiHidden/>
    <w:unhideWhenUsed/>
    <w:rsid w:val="00377146"/>
    <w:pPr>
      <w:spacing w:line="240" w:lineRule="auto"/>
    </w:pPr>
    <w:rPr>
      <w:szCs w:val="20"/>
    </w:rPr>
  </w:style>
  <w:style w:type="character" w:customStyle="1" w:styleId="CommentTextChar">
    <w:name w:val="Comment Text Char"/>
    <w:basedOn w:val="DefaultParagraphFont"/>
    <w:link w:val="CommentText"/>
    <w:uiPriority w:val="99"/>
    <w:semiHidden/>
    <w:rsid w:val="0037714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7146"/>
    <w:rPr>
      <w:b/>
      <w:bCs/>
    </w:rPr>
  </w:style>
  <w:style w:type="character" w:customStyle="1" w:styleId="CommentSubjectChar">
    <w:name w:val="Comment Subject Char"/>
    <w:basedOn w:val="CommentTextChar"/>
    <w:link w:val="CommentSubject"/>
    <w:uiPriority w:val="99"/>
    <w:semiHidden/>
    <w:rsid w:val="00377146"/>
    <w:rPr>
      <w:rFonts w:ascii="Arial" w:hAnsi="Arial"/>
      <w:b/>
      <w:bCs/>
      <w:sz w:val="20"/>
      <w:szCs w:val="20"/>
    </w:rPr>
  </w:style>
  <w:style w:type="character" w:customStyle="1" w:styleId="hlfld-contribauthor">
    <w:name w:val="hlfld-contribauthor"/>
    <w:basedOn w:val="DefaultParagraphFont"/>
    <w:rsid w:val="0019611F"/>
  </w:style>
  <w:style w:type="character" w:customStyle="1" w:styleId="nlmgiven-names">
    <w:name w:val="nlm_given-names"/>
    <w:basedOn w:val="DefaultParagraphFont"/>
    <w:rsid w:val="0019611F"/>
  </w:style>
  <w:style w:type="character" w:customStyle="1" w:styleId="nlmyear">
    <w:name w:val="nlm_year"/>
    <w:basedOn w:val="DefaultParagraphFont"/>
    <w:rsid w:val="0019611F"/>
  </w:style>
  <w:style w:type="character" w:customStyle="1" w:styleId="nlmarticle-title">
    <w:name w:val="nlm_article-title"/>
    <w:basedOn w:val="DefaultParagraphFont"/>
    <w:rsid w:val="0019611F"/>
  </w:style>
  <w:style w:type="character" w:customStyle="1" w:styleId="nlmfpage">
    <w:name w:val="nlm_fpage"/>
    <w:basedOn w:val="DefaultParagraphFont"/>
    <w:rsid w:val="0019611F"/>
  </w:style>
  <w:style w:type="character" w:customStyle="1" w:styleId="nlmlpage">
    <w:name w:val="nlm_lpage"/>
    <w:basedOn w:val="DefaultParagraphFont"/>
    <w:rsid w:val="0019611F"/>
  </w:style>
  <w:style w:type="character" w:styleId="UnresolvedMention">
    <w:name w:val="Unresolved Mention"/>
    <w:basedOn w:val="DefaultParagraphFont"/>
    <w:uiPriority w:val="99"/>
    <w:unhideWhenUsed/>
    <w:rsid w:val="002F68A4"/>
    <w:rPr>
      <w:color w:val="605E5C"/>
      <w:shd w:val="clear" w:color="auto" w:fill="E1DFDD"/>
    </w:rPr>
  </w:style>
  <w:style w:type="character" w:styleId="Mention">
    <w:name w:val="Mention"/>
    <w:basedOn w:val="DefaultParagraphFont"/>
    <w:uiPriority w:val="99"/>
    <w:unhideWhenUsed/>
    <w:rsid w:val="002F68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80/0142159X.2020.183846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harmacycouncil.org.au/resources/pharmacy-program-stand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assell\Australian%20Pharmacy%20Council\Shared%20-%20Documents\Intranet\Templates\T-000-1%20Master%20Word%20Document%20Template%20-%20Long.dotx" TargetMode="External"/></Relationships>
</file>

<file path=word/theme/theme1.xml><?xml version="1.0" encoding="utf-8"?>
<a:theme xmlns:a="http://schemas.openxmlformats.org/drawingml/2006/main" name="Office Theme">
  <a:themeElements>
    <a:clrScheme name="APC Colour Palette">
      <a:dk1>
        <a:srgbClr val="636363"/>
      </a:dk1>
      <a:lt1>
        <a:sysClr val="window" lastClr="FFFFFF"/>
      </a:lt1>
      <a:dk2>
        <a:srgbClr val="93948A"/>
      </a:dk2>
      <a:lt2>
        <a:srgbClr val="FFFFFF"/>
      </a:lt2>
      <a:accent1>
        <a:srgbClr val="67C971"/>
      </a:accent1>
      <a:accent2>
        <a:srgbClr val="3594D1"/>
      </a:accent2>
      <a:accent3>
        <a:srgbClr val="884A9C"/>
      </a:accent3>
      <a:accent4>
        <a:srgbClr val="E53433"/>
      </a:accent4>
      <a:accent5>
        <a:srgbClr val="F7971C"/>
      </a:accent5>
      <a:accent6>
        <a:srgbClr val="57BEBA"/>
      </a:accent6>
      <a:hlink>
        <a:srgbClr val="00B69C"/>
      </a:hlink>
      <a:folHlink>
        <a:srgbClr val="A1A2A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6b5f468-6c88-4b71-a91b-2dc14e186f50">
      <UserInfo>
        <DisplayName>Josephine Maundu</DisplayName>
        <AccountId>13</AccountId>
        <AccountType/>
      </UserInfo>
    </SharedWithUsers>
    <Purpose xmlns="6eb9cd17-dd8c-4efe-ad45-1f5b0f95cb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744B3AC3B66D4BAB8311FB2CD1F718" ma:contentTypeVersion="15" ma:contentTypeDescription="Create a new document." ma:contentTypeScope="" ma:versionID="b79034f31513ae053023401a9cd5fa79">
  <xsd:schema xmlns:xsd="http://www.w3.org/2001/XMLSchema" xmlns:xs="http://www.w3.org/2001/XMLSchema" xmlns:p="http://schemas.microsoft.com/office/2006/metadata/properties" xmlns:ns2="6eb9cd17-dd8c-4efe-ad45-1f5b0f95cbf9" xmlns:ns3="06b5f468-6c88-4b71-a91b-2dc14e186f50" targetNamespace="http://schemas.microsoft.com/office/2006/metadata/properties" ma:root="true" ma:fieldsID="2a99026c096b14d95129681fe0722a3a" ns2:_="" ns3:_="">
    <xsd:import namespace="6eb9cd17-dd8c-4efe-ad45-1f5b0f95cbf9"/>
    <xsd:import namespace="06b5f468-6c88-4b71-a91b-2dc14e186f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Purpos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9cd17-dd8c-4efe-ad45-1f5b0f95c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Purpose" ma:index="20" nillable="true" ma:displayName="Purpose" ma:format="Dropdown" ma:indexed="true" ma:internalName="Purpose">
      <xsd:simpleType>
        <xsd:union memberTypes="dms:Text">
          <xsd:simpleType>
            <xsd:restriction base="dms:Choice">
              <xsd:enumeration value="Email template"/>
              <xsd:enumeration value="Work instruction"/>
              <xsd:enumeration value="Reference"/>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b5f468-6c88-4b71-a91b-2dc14e186f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90E1CE-FE37-48C5-9A31-9C806E968108}">
  <ds:schemaRefs>
    <ds:schemaRef ds:uri="http://purl.org/dc/terms/"/>
    <ds:schemaRef ds:uri="6eb9cd17-dd8c-4efe-ad45-1f5b0f95cbf9"/>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06b5f468-6c88-4b71-a91b-2dc14e186f50"/>
    <ds:schemaRef ds:uri="http://purl.org/dc/dcmitype/"/>
  </ds:schemaRefs>
</ds:datastoreItem>
</file>

<file path=customXml/itemProps2.xml><?xml version="1.0" encoding="utf-8"?>
<ds:datastoreItem xmlns:ds="http://schemas.openxmlformats.org/officeDocument/2006/customXml" ds:itemID="{C818A23F-8449-42B2-BE47-7EFAD465A1EF}"/>
</file>

<file path=customXml/itemProps3.xml><?xml version="1.0" encoding="utf-8"?>
<ds:datastoreItem xmlns:ds="http://schemas.openxmlformats.org/officeDocument/2006/customXml" ds:itemID="{C211B10A-C94C-493A-805F-BCA516F0B73E}">
  <ds:schemaRefs>
    <ds:schemaRef ds:uri="http://schemas.openxmlformats.org/officeDocument/2006/bibliography"/>
  </ds:schemaRefs>
</ds:datastoreItem>
</file>

<file path=customXml/itemProps4.xml><?xml version="1.0" encoding="utf-8"?>
<ds:datastoreItem xmlns:ds="http://schemas.openxmlformats.org/officeDocument/2006/customXml" ds:itemID="{D39C7966-5C5C-417A-9696-6916D35A85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T-000-1 Master Word Document Template - Long</Template>
  <TotalTime>229</TotalTime>
  <Pages>12</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Bassell</dc:creator>
  <cp:keywords/>
  <dc:description/>
  <cp:lastModifiedBy>Justine Bassell</cp:lastModifiedBy>
  <cp:revision>62</cp:revision>
  <cp:lastPrinted>2021-04-30T02:09:00Z</cp:lastPrinted>
  <dcterms:created xsi:type="dcterms:W3CDTF">2021-04-18T04:15:00Z</dcterms:created>
  <dcterms:modified xsi:type="dcterms:W3CDTF">2021-04-30T02:09:00Z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0x0101000E744B3AC3B66D4BAB8311FB2CD1F718</vt:lpwstr>
  </property>
  <property fmtid="{D5CDD505-2E9C-101B-9397-08002B2CF9AE}" pid="3" name="Order">
    <vt:r8>90400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